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ind w:left="1570" w:hanging="425"/>
        <w:jc w:val="center"/>
        <w:rPr>
          <w:rFonts w:ascii="Tahoma" w:hAnsi="Tahoma" w:eastAsia="Times New Roman" w:cs="Tahoma"/>
          <w:b/>
          <w:bCs/>
          <w:color w:val="E12227"/>
          <w:sz w:val="40"/>
          <w:szCs w:val="32"/>
          <w:lang w:val="en-GB"/>
        </w:rPr>
      </w:pPr>
    </w:p>
    <w:p>
      <w:pPr>
        <w:tabs>
          <w:tab w:val="left" w:pos="1145"/>
        </w:tabs>
        <w:ind w:left="1570" w:hanging="425"/>
        <w:jc w:val="center"/>
        <w:rPr>
          <w:rFonts w:ascii="Tahoma" w:hAnsi="Tahoma" w:eastAsia="Times New Roman" w:cs="Tahoma"/>
          <w:b/>
          <w:bCs/>
          <w:color w:val="E12227"/>
          <w:sz w:val="40"/>
          <w:szCs w:val="32"/>
          <w:lang w:val="en-GB"/>
        </w:rPr>
      </w:pPr>
    </w:p>
    <w:p>
      <w:pPr>
        <w:ind w:left="425" w:hanging="425"/>
        <w:jc w:val="center"/>
        <w:rPr>
          <w:rFonts w:hint="default" w:ascii="Tahoma" w:hAnsi="Tahoma" w:cs="Tahoma"/>
          <w:b/>
          <w:bCs/>
          <w:color w:val="75B239"/>
          <w:sz w:val="40"/>
          <w:szCs w:val="32"/>
          <w:lang w:val="lv-LV"/>
        </w:rPr>
      </w:pPr>
      <w:r>
        <w:rPr>
          <w:rFonts w:ascii="Tahoma" w:hAnsi="Tahoma" w:cs="Tahoma"/>
          <w:b/>
          <w:bCs/>
          <w:color w:val="75B239"/>
          <w:sz w:val="40"/>
          <w:szCs w:val="32"/>
          <w:lang w:val="en-GB"/>
        </w:rPr>
        <w:t xml:space="preserve">Apmācības </w:t>
      </w:r>
      <w:r>
        <w:rPr>
          <w:rFonts w:hint="default" w:ascii="Tahoma" w:hAnsi="Tahoma" w:cs="Tahoma"/>
          <w:b/>
          <w:bCs/>
          <w:color w:val="75B239"/>
          <w:sz w:val="40"/>
          <w:szCs w:val="32"/>
          <w:lang w:val="lv-LV"/>
        </w:rPr>
        <w:t>modulis</w:t>
      </w:r>
    </w:p>
    <w:p>
      <w:pPr>
        <w:ind w:left="1003"/>
        <w:rPr>
          <w:rFonts w:ascii="Times New Roman" w:hAnsi="Times New Roman" w:cs="Calibri"/>
          <w:b/>
          <w:bCs/>
          <w:color w:val="266C9F"/>
          <w:sz w:val="44"/>
          <w:szCs w:val="36"/>
          <w:lang w:val="en-GB"/>
        </w:rPr>
      </w:pPr>
    </w:p>
    <w:p>
      <w:pPr>
        <w:ind w:left="1003"/>
        <w:rPr>
          <w:rFonts w:cs="Times New Roman"/>
          <w:lang w:val="en-GB"/>
        </w:rPr>
      </w:pPr>
    </w:p>
    <w:tbl>
      <w:tblPr>
        <w:tblStyle w:val="13"/>
        <w:tblW w:w="934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6030"/>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Nosaukums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b/>
                <w:bCs/>
                <w:i/>
                <w:iCs/>
              </w:rPr>
            </w:pPr>
            <w:r>
              <w:rPr>
                <w:rFonts w:asciiTheme="minorHAnsi" w:hAnsiTheme="minorHAnsi" w:cstheme="minorHAnsi"/>
                <w:b/>
                <w:bCs/>
                <w:i/>
                <w:iCs/>
              </w:rPr>
              <w:t>Resursi profesionālās izglītības mācīšanai un apmācībai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Atslēgvārdi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EQAVET, EQF, CEDEFOP, EURES, EUROPASS, ESCO, mikroakreditācijas dati ,</w:t>
            </w:r>
            <w:r>
              <w:t xml:space="preserve"> </w:t>
            </w:r>
            <w:r>
              <w:rPr>
                <w:rFonts w:asciiTheme="minorHAnsi" w:hAnsiTheme="minorHAnsi" w:cstheme="minorHAnsi"/>
                <w:lang w:val="en-GB"/>
              </w:rPr>
              <w:t>Profesionālā izglītība, mācību satura izstrāde, prasmju attīstība,</w:t>
            </w:r>
          </w:p>
          <w:p>
            <w:pPr>
              <w:widowControl/>
              <w:autoSpaceDE/>
              <w:autoSpaceDN/>
            </w:pPr>
            <w:r>
              <w:rPr>
                <w:rFonts w:asciiTheme="minorHAnsi" w:hAnsiTheme="minorHAnsi" w:cstheme="minorHAnsi"/>
                <w:lang w:val="en-GB"/>
              </w:rPr>
              <w:t>Profesionālās kvalifikācijas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Nodrošina</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Kopā izstrādāja IDP Eiropas konsultanti un Institut de Haute Formation aux Politiques Communautaires asbl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Valoda</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hint="default" w:asciiTheme="minorHAnsi" w:hAnsiTheme="minorHAnsi" w:cstheme="minorHAnsi"/>
                <w:lang w:val="lv-LV"/>
              </w:rPr>
            </w:pPr>
            <w:r>
              <w:rPr>
                <w:rFonts w:hint="default" w:asciiTheme="minorHAnsi" w:hAnsiTheme="minorHAnsi" w:cstheme="minorHAnsi"/>
                <w:lang w:val="lv-LV"/>
              </w:rPr>
              <w:t>Latviešu</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Profesionālā profila nosaukums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Kvalifikācijas profils un apmācības mērķi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Ilgums un apjoms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45 minūtes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Uzņemšanas prasības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Apmācību struktūra un moduļi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Mērķi un mērķi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Iekļaujot šajās apmācību vienībās uzskaitītos ieteicamos resursus, profesionāļi (skolotāji un pedagogi, kas darbojas PIA ekosistēmā) būs labāk pozīcijā, lai nodrošinātu augstas kvalitātes apmācību, nodrošinātu labāku mācību pieredzi skolēniem un palielinātu apmācību kopējo ietekmi. un izglītības sesija kopumā.</w:t>
            </w:r>
          </w:p>
          <w:p>
            <w:pPr>
              <w:widowControl/>
              <w:autoSpaceDE/>
              <w:autoSpaceDN/>
              <w:rPr>
                <w:rFonts w:asciiTheme="minorHAnsi" w:hAnsiTheme="minorHAnsi" w:cstheme="minorHAnsi"/>
                <w:lang w:val="en-GB"/>
              </w:rPr>
            </w:pPr>
          </w:p>
          <w:p>
            <w:pPr>
              <w:widowControl/>
              <w:autoSpaceDE/>
              <w:autoSpaceDN/>
              <w:rPr>
                <w:rFonts w:asciiTheme="minorHAnsi" w:hAnsiTheme="minorHAnsi" w:cstheme="minorHAnsi"/>
                <w:lang w:val="en-GB"/>
              </w:rPr>
            </w:pPr>
            <w:r>
              <w:rPr>
                <w:rFonts w:asciiTheme="minorHAnsi" w:hAnsiTheme="minorHAnsi" w:cstheme="minorHAnsi"/>
                <w:lang w:val="en-GB"/>
              </w:rPr>
              <w:t>Šeit ieteiktās vadlīnijas un principi attiecas neatkarīgi uz apmācību specifisko un tehnisko saturu un tiek piemēroti transversāli, lai sasniegtu e standartizētu izglītības standartu līmeni visā Eiropā un apmācības jomās.</w:t>
            </w:r>
          </w:p>
          <w:p>
            <w:pPr>
              <w:widowControl/>
              <w:autoSpaceDE/>
              <w:autoSpaceDN/>
              <w:rPr>
                <w:rFonts w:asciiTheme="minorHAnsi" w:hAnsiTheme="minorHAnsi" w:cstheme="minorHAnsi"/>
                <w:lang w:val="en-GB"/>
              </w:rPr>
            </w:pPr>
          </w:p>
          <w:p>
            <w:pPr>
              <w:widowControl/>
              <w:autoSpaceDE/>
              <w:autoSpaceDN/>
              <w:rPr>
                <w:rFonts w:asciiTheme="minorHAnsi" w:hAnsiTheme="minorHAnsi" w:cstheme="minorHAnsi"/>
                <w:lang w:val="en-GB"/>
              </w:rPr>
            </w:pPr>
            <w:r>
              <w:rPr>
                <w:rFonts w:asciiTheme="minorHAnsi" w:hAnsiTheme="minorHAnsi" w:cstheme="minorHAnsi"/>
                <w:lang w:val="en-GB"/>
              </w:rPr>
              <w:t>Lietotāji var gūt lielas priekšrocības no savas lietojumprogrammas, un viņi noteikti var atkārtot savu izvēršanu un ieviešanu praksē neatkarīgi no konteksta.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Mācību rezultāti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Galvenie šī apmācības moduļa mācību rezultāti ir:</w:t>
            </w:r>
          </w:p>
          <w:p>
            <w:pPr>
              <w:widowControl/>
              <w:autoSpaceDE/>
              <w:autoSpaceDN/>
              <w:rPr>
                <w:rFonts w:asciiTheme="minorHAnsi" w:hAnsiTheme="minorHAnsi" w:cstheme="minorHAnsi"/>
                <w:lang w:val="en-GB"/>
              </w:rPr>
            </w:pP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Zināšanas par ieteicamajiem resursiem</w:t>
            </w: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Uzlabotas mācīšanas un apmācības prasmes</w:t>
            </w: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Uzlabota apmācības kvalitāte</w:t>
            </w: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Uzlabota mācīšanās pieredze</w:t>
            </w: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Vadlīniju un principu piemērošana</w:t>
            </w: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Pielāgošanās spēja un replikācija</w:t>
            </w:r>
          </w:p>
          <w:p>
            <w:pPr>
              <w:pStyle w:val="16"/>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Efektīva resursu atlase</w:t>
            </w:r>
          </w:p>
          <w:p>
            <w:pPr>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Nepārtraukta profesionālā izaugsme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714" w:type="dxa"/>
            <w:vMerge w:val="restart"/>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textAlignment w:val="baseline"/>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Mācību lauks</w:t>
            </w:r>
          </w:p>
          <w:p>
            <w:pPr>
              <w:widowControl/>
              <w:autoSpaceDE/>
              <w:autoSpaceDN/>
              <w:textAlignment w:val="baseline"/>
              <w:rPr>
                <w:rFonts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6"/>
              <w:widowControl/>
              <w:autoSpaceDE/>
              <w:autoSpaceDN/>
              <w:rPr>
                <w:rFonts w:asciiTheme="minorHAnsi" w:hAnsiTheme="minorHAnsi" w:cstheme="minorHAnsi"/>
                <w:lang w:val="en-GB"/>
              </w:rPr>
            </w:pPr>
            <w:r>
              <w:rPr>
                <w:rFonts w:asciiTheme="minorHAnsi" w:hAnsiTheme="minorHAnsi" w:cstheme="minorHAnsi"/>
                <w:lang w:val="en-GB"/>
              </w:rPr>
              <w:t>Profesionālā izglītība Apmācību resursi</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tabs>
                <w:tab w:val="center" w:pos="759"/>
              </w:tabs>
              <w:autoSpaceDE/>
              <w:autoSpaceDN/>
              <w:rPr>
                <w:rFonts w:asciiTheme="minorHAnsi" w:hAnsiTheme="minorHAnsi" w:cstheme="minorHAnsi"/>
                <w:lang w:val="en-GB"/>
              </w:rPr>
            </w:pPr>
            <w:r>
              <w:rPr>
                <w:rFonts w:asciiTheme="minorHAnsi" w:hAnsiTheme="minorHAnsi" w:cstheme="minorHAnsi"/>
                <w:lang w:val="en-G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14" w:type="dxa"/>
            <w:vMerge w:val="continue"/>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eastAsia="Times New Roman"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6"/>
              <w:widowControl/>
              <w:autoSpaceDE/>
              <w:autoSpaceDN/>
              <w:rPr>
                <w:rFonts w:asciiTheme="minorHAnsi" w:hAnsiTheme="minorHAnsi" w:cstheme="minorHAnsi"/>
                <w:lang w:val="en-GB"/>
              </w:rPr>
            </w:pPr>
            <w:r>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tabs>
                <w:tab w:val="center" w:pos="759"/>
              </w:tabs>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714" w:type="dxa"/>
            <w:vMerge w:val="continue"/>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eastAsia="Times New Roman"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6"/>
              <w:widowControl/>
              <w:autoSpaceDE/>
              <w:autoSpaceDN/>
              <w:rPr>
                <w:rFonts w:asciiTheme="minorHAnsi" w:hAnsiTheme="minorHAnsi" w:cstheme="minorHAnsi"/>
                <w:lang w:val="en-GB"/>
              </w:rPr>
            </w:pPr>
            <w:r>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Satura rādītājs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b/>
                <w:bCs/>
                <w:i/>
                <w:iCs/>
              </w:rPr>
            </w:pPr>
            <w:r>
              <w:rPr>
                <w:rFonts w:asciiTheme="minorHAnsi" w:hAnsiTheme="minorHAnsi" w:cstheme="minorHAnsi"/>
              </w:rPr>
              <w:t xml:space="preserve">Modulis: </w:t>
            </w:r>
            <w:r>
              <w:rPr>
                <w:rFonts w:asciiTheme="minorHAnsi" w:hAnsiTheme="minorHAnsi" w:cstheme="minorHAnsi"/>
                <w:b/>
                <w:bCs/>
                <w:i/>
                <w:iCs/>
              </w:rPr>
              <w:t>Profesionālās izglītības mācīšanas un apmācības resursi</w:t>
            </w:r>
          </w:p>
          <w:p>
            <w:pPr>
              <w:widowControl/>
              <w:autoSpaceDE/>
              <w:autoSpaceDN/>
              <w:rPr>
                <w:rFonts w:asciiTheme="minorHAnsi" w:hAnsiTheme="minorHAnsi" w:cstheme="minorHAnsi"/>
                <w:b/>
                <w:bCs/>
                <w:i/>
                <w:iCs/>
              </w:rPr>
            </w:pPr>
          </w:p>
          <w:p>
            <w:pPr>
              <w:widowControl/>
              <w:autoSpaceDE/>
              <w:autoSpaceDN/>
              <w:rPr>
                <w:rFonts w:asciiTheme="minorHAnsi" w:hAnsiTheme="minorHAnsi" w:cstheme="minorHAnsi"/>
                <w:b/>
                <w:bCs/>
                <w:i/>
                <w:iCs/>
              </w:rPr>
            </w:pPr>
          </w:p>
          <w:p>
            <w:pPr>
              <w:pStyle w:val="16"/>
              <w:widowControl/>
              <w:numPr>
                <w:ilvl w:val="0"/>
                <w:numId w:val="2"/>
              </w:numPr>
              <w:autoSpaceDE/>
              <w:autoSpaceDN/>
              <w:spacing w:after="160" w:line="259" w:lineRule="auto"/>
              <w:contextualSpacing/>
              <w:rPr>
                <w:rFonts w:asciiTheme="minorHAnsi" w:hAnsiTheme="minorHAnsi" w:cstheme="minorHAnsi"/>
                <w:b/>
                <w:bCs/>
              </w:rPr>
            </w:pPr>
            <w:r>
              <w:rPr>
                <w:rFonts w:asciiTheme="minorHAnsi" w:hAnsiTheme="minorHAnsi" w:cstheme="minorHAnsi"/>
                <w:b/>
                <w:bCs/>
              </w:rPr>
              <w:t>1. vienība: EQAVET</w:t>
            </w:r>
          </w:p>
          <w:p>
            <w:pPr>
              <w:pStyle w:val="16"/>
              <w:widowControl/>
              <w:numPr>
                <w:ilvl w:val="0"/>
                <w:numId w:val="3"/>
              </w:numPr>
              <w:autoSpaceDE/>
              <w:autoSpaceDN/>
              <w:spacing w:after="160" w:line="259" w:lineRule="auto"/>
              <w:ind w:left="1139"/>
              <w:contextualSpacing/>
              <w:rPr>
                <w:rFonts w:asciiTheme="minorHAnsi" w:hAnsiTheme="minorHAnsi" w:cstheme="minorHAnsi"/>
              </w:rPr>
            </w:pPr>
            <w:r>
              <w:rPr>
                <w:rFonts w:asciiTheme="minorHAnsi" w:hAnsiTheme="minorHAnsi" w:cstheme="minorHAnsi"/>
              </w:rPr>
              <w:t>1.1. sadaļa: Profesionālās izglītības nodrošināšanas kvalitātes nodrošināšanas sistēma</w:t>
            </w:r>
          </w:p>
          <w:p>
            <w:pPr>
              <w:pStyle w:val="16"/>
              <w:widowControl/>
              <w:numPr>
                <w:ilvl w:val="0"/>
                <w:numId w:val="2"/>
              </w:numPr>
              <w:autoSpaceDE/>
              <w:autoSpaceDN/>
              <w:spacing w:after="160" w:line="259" w:lineRule="auto"/>
              <w:contextualSpacing/>
              <w:rPr>
                <w:rFonts w:asciiTheme="minorHAnsi" w:hAnsiTheme="minorHAnsi" w:cstheme="minorHAnsi"/>
                <w:b/>
                <w:bCs/>
              </w:rPr>
            </w:pPr>
            <w:r>
              <w:rPr>
                <w:rFonts w:asciiTheme="minorHAnsi" w:hAnsiTheme="minorHAnsi" w:cstheme="minorHAnsi"/>
                <w:b/>
                <w:bCs/>
              </w:rPr>
              <w:t>2. vienība: EKI</w:t>
            </w:r>
          </w:p>
          <w:p>
            <w:pPr>
              <w:pStyle w:val="16"/>
              <w:widowControl/>
              <w:numPr>
                <w:ilvl w:val="0"/>
                <w:numId w:val="4"/>
              </w:numPr>
              <w:autoSpaceDE/>
              <w:autoSpaceDN/>
              <w:spacing w:after="160" w:line="259" w:lineRule="auto"/>
              <w:ind w:left="1139"/>
              <w:contextualSpacing/>
              <w:rPr>
                <w:rFonts w:asciiTheme="minorHAnsi" w:hAnsiTheme="minorHAnsi" w:cstheme="minorHAnsi"/>
                <w:lang w:val="es-ES"/>
              </w:rPr>
            </w:pPr>
            <w:r>
              <w:rPr>
                <w:rFonts w:asciiTheme="minorHAnsi" w:hAnsiTheme="minorHAnsi" w:cstheme="minorHAnsi"/>
              </w:rPr>
              <w:t>2.1.</w:t>
            </w:r>
            <w:r>
              <w:rPr>
                <w:rFonts w:asciiTheme="minorHAnsi" w:hAnsiTheme="minorHAnsi" w:cstheme="minorHAnsi"/>
                <w:lang w:val="es-ES"/>
              </w:rPr>
              <w:t> sadaļa Eiropas Kvalifikācijas ietvarstruktūra</w:t>
            </w:r>
          </w:p>
          <w:p>
            <w:pPr>
              <w:pStyle w:val="16"/>
              <w:widowControl/>
              <w:numPr>
                <w:ilvl w:val="0"/>
                <w:numId w:val="2"/>
              </w:numPr>
              <w:autoSpaceDE/>
              <w:autoSpaceDN/>
              <w:spacing w:after="160" w:line="259" w:lineRule="auto"/>
              <w:contextualSpacing/>
              <w:rPr>
                <w:rFonts w:asciiTheme="minorHAnsi" w:hAnsiTheme="minorHAnsi" w:cstheme="minorHAnsi"/>
                <w:b/>
                <w:bCs/>
              </w:rPr>
            </w:pPr>
            <w:r>
              <w:rPr>
                <w:rFonts w:asciiTheme="minorHAnsi" w:hAnsiTheme="minorHAnsi" w:cstheme="minorHAnsi"/>
                <w:b/>
                <w:bCs/>
              </w:rPr>
              <w:t>3. nodaļa: CEDEFOP – ES PIA attīstības centrs</w:t>
            </w:r>
          </w:p>
          <w:p>
            <w:pPr>
              <w:pStyle w:val="16"/>
              <w:widowControl/>
              <w:numPr>
                <w:ilvl w:val="0"/>
                <w:numId w:val="5"/>
              </w:numPr>
              <w:autoSpaceDE/>
              <w:autoSpaceDN/>
              <w:spacing w:after="160" w:line="259" w:lineRule="auto"/>
              <w:ind w:left="1139"/>
              <w:contextualSpacing/>
              <w:rPr>
                <w:rFonts w:asciiTheme="minorHAnsi" w:hAnsiTheme="minorHAnsi" w:cstheme="minorHAnsi"/>
              </w:rPr>
            </w:pPr>
            <w:r>
              <w:rPr>
                <w:rFonts w:asciiTheme="minorHAnsi" w:hAnsiTheme="minorHAnsi" w:cstheme="minorHAnsi"/>
              </w:rPr>
              <w:t>3.1. sadaļa: Profesionālās izglītības un apmācības datubāze</w:t>
            </w:r>
          </w:p>
          <w:p>
            <w:pPr>
              <w:pStyle w:val="16"/>
              <w:widowControl/>
              <w:numPr>
                <w:ilvl w:val="0"/>
                <w:numId w:val="2"/>
              </w:numPr>
              <w:autoSpaceDE/>
              <w:autoSpaceDN/>
              <w:spacing w:after="160" w:line="259" w:lineRule="auto"/>
              <w:contextualSpacing/>
              <w:rPr>
                <w:rFonts w:asciiTheme="minorHAnsi" w:hAnsiTheme="minorHAnsi" w:cstheme="minorHAnsi"/>
                <w:b/>
                <w:bCs/>
              </w:rPr>
            </w:pPr>
            <w:r>
              <w:rPr>
                <w:rFonts w:asciiTheme="minorHAnsi" w:hAnsiTheme="minorHAnsi" w:cstheme="minorHAnsi"/>
                <w:b/>
                <w:bCs/>
              </w:rPr>
              <w:t>4. nodaļa: EURES – ES sadarbības tīkls nodarbinātībai</w:t>
            </w:r>
          </w:p>
          <w:p>
            <w:pPr>
              <w:pStyle w:val="16"/>
              <w:widowControl/>
              <w:numPr>
                <w:ilvl w:val="0"/>
                <w:numId w:val="6"/>
              </w:numPr>
              <w:autoSpaceDE/>
              <w:autoSpaceDN/>
              <w:spacing w:after="160" w:line="259" w:lineRule="auto"/>
              <w:ind w:left="1281"/>
              <w:contextualSpacing/>
              <w:rPr>
                <w:rFonts w:asciiTheme="minorHAnsi" w:hAnsiTheme="minorHAnsi" w:cstheme="minorHAnsi"/>
              </w:rPr>
            </w:pPr>
            <w:r>
              <w:rPr>
                <w:rFonts w:asciiTheme="minorHAnsi" w:hAnsiTheme="minorHAnsi" w:cstheme="minorHAnsi"/>
              </w:rPr>
              <w:t>4.1. sadaļa: Darba ņēmēju brīvas pārvietošanās veicināšana</w:t>
            </w:r>
          </w:p>
          <w:p>
            <w:pPr>
              <w:pStyle w:val="16"/>
              <w:widowControl/>
              <w:numPr>
                <w:ilvl w:val="0"/>
                <w:numId w:val="2"/>
              </w:numPr>
              <w:autoSpaceDE/>
              <w:autoSpaceDN/>
              <w:spacing w:after="160" w:line="259" w:lineRule="auto"/>
              <w:contextualSpacing/>
              <w:rPr>
                <w:rFonts w:asciiTheme="minorHAnsi" w:hAnsiTheme="minorHAnsi" w:cstheme="minorHAnsi"/>
                <w:b/>
                <w:bCs/>
              </w:rPr>
            </w:pPr>
            <w:r>
              <w:rPr>
                <w:rFonts w:asciiTheme="minorHAnsi" w:hAnsiTheme="minorHAnsi" w:cstheme="minorHAnsi"/>
                <w:b/>
                <w:bCs/>
              </w:rPr>
              <w:t>5. nodaļa: EUROPASS – mācības un darbs ES</w:t>
            </w:r>
          </w:p>
          <w:p>
            <w:pPr>
              <w:pStyle w:val="16"/>
              <w:widowControl/>
              <w:numPr>
                <w:ilvl w:val="0"/>
                <w:numId w:val="7"/>
              </w:numPr>
              <w:autoSpaceDE/>
              <w:autoSpaceDN/>
              <w:spacing w:after="160" w:line="259" w:lineRule="auto"/>
              <w:ind w:left="1281"/>
              <w:contextualSpacing/>
              <w:rPr>
                <w:rFonts w:asciiTheme="minorHAnsi" w:hAnsiTheme="minorHAnsi" w:cstheme="minorHAnsi"/>
              </w:rPr>
            </w:pPr>
            <w:r>
              <w:rPr>
                <w:rFonts w:asciiTheme="minorHAnsi" w:hAnsiTheme="minorHAnsi" w:cstheme="minorHAnsi"/>
              </w:rPr>
              <w:t>5.1. sadaļa: EUROPASS izmantošana PIA pakalpojumu sniedzējiem</w:t>
            </w:r>
          </w:p>
          <w:p>
            <w:pPr>
              <w:pStyle w:val="16"/>
              <w:widowControl/>
              <w:numPr>
                <w:ilvl w:val="0"/>
                <w:numId w:val="2"/>
              </w:numPr>
              <w:autoSpaceDE/>
              <w:autoSpaceDN/>
              <w:spacing w:after="160" w:line="259" w:lineRule="auto"/>
              <w:contextualSpacing/>
              <w:rPr>
                <w:rFonts w:asciiTheme="minorHAnsi" w:hAnsiTheme="minorHAnsi" w:cstheme="minorHAnsi"/>
                <w:b/>
                <w:bCs/>
              </w:rPr>
            </w:pPr>
            <w:r>
              <w:rPr>
                <w:rFonts w:asciiTheme="minorHAnsi" w:hAnsiTheme="minorHAnsi" w:cstheme="minorHAnsi"/>
                <w:b/>
                <w:bCs/>
              </w:rPr>
              <w:t>6. nodaļa: ES prasmes, kompetences, kvalifikācija un profesijas</w:t>
            </w:r>
          </w:p>
          <w:p>
            <w:pPr>
              <w:pStyle w:val="16"/>
              <w:widowControl/>
              <w:numPr>
                <w:ilvl w:val="0"/>
                <w:numId w:val="8"/>
              </w:numPr>
              <w:autoSpaceDE/>
              <w:autoSpaceDN/>
              <w:spacing w:after="160" w:line="259" w:lineRule="auto"/>
              <w:ind w:left="1281"/>
              <w:contextualSpacing/>
              <w:rPr>
                <w:rFonts w:asciiTheme="minorHAnsi" w:hAnsiTheme="minorHAnsi" w:cstheme="minorHAnsi"/>
                <w:lang w:val="es-ES"/>
              </w:rPr>
            </w:pPr>
            <w:r>
              <w:rPr>
                <w:rFonts w:asciiTheme="minorHAnsi" w:hAnsiTheme="minorHAnsi" w:cstheme="minorHAnsi"/>
                <w:lang w:val="es-ES"/>
              </w:rPr>
              <w:t>.</w:t>
            </w:r>
            <w:r>
              <w:rPr>
                <w:rFonts w:asciiTheme="minorHAnsi" w:hAnsiTheme="minorHAnsi" w:cstheme="minorHAnsi"/>
              </w:rPr>
              <w:t xml:space="preserve"> sadaļa: </w:t>
            </w:r>
            <w:r>
              <w:rPr>
                <w:rFonts w:asciiTheme="minorHAnsi" w:hAnsiTheme="minorHAnsi" w:cstheme="minorHAnsi"/>
                <w:lang w:val="es-ES"/>
              </w:rPr>
              <w:t>ESKO sistēma</w:t>
            </w:r>
          </w:p>
          <w:p>
            <w:pPr>
              <w:pStyle w:val="16"/>
              <w:widowControl/>
              <w:numPr>
                <w:ilvl w:val="0"/>
                <w:numId w:val="2"/>
              </w:numPr>
              <w:autoSpaceDE/>
              <w:autoSpaceDN/>
              <w:spacing w:after="160" w:line="259" w:lineRule="auto"/>
              <w:contextualSpacing/>
              <w:rPr>
                <w:rFonts w:asciiTheme="minorHAnsi" w:hAnsiTheme="minorHAnsi" w:cstheme="minorHAnsi"/>
                <w:b/>
                <w:bCs/>
                <w:lang w:val="es-ES"/>
              </w:rPr>
            </w:pPr>
            <w:r>
              <w:rPr>
                <w:rFonts w:asciiTheme="minorHAnsi" w:hAnsiTheme="minorHAnsi" w:cstheme="minorHAnsi"/>
                <w:b/>
                <w:bCs/>
              </w:rPr>
              <w:t xml:space="preserve">7. vienība: </w:t>
            </w:r>
            <w:r>
              <w:rPr>
                <w:rFonts w:asciiTheme="minorHAnsi" w:hAnsiTheme="minorHAnsi" w:cstheme="minorHAnsi"/>
                <w:b/>
                <w:bCs/>
                <w:lang w:val="es-ES"/>
              </w:rPr>
              <w:t xml:space="preserve">mikroakreditācijas dati </w:t>
            </w:r>
          </w:p>
          <w:p>
            <w:pPr>
              <w:pStyle w:val="16"/>
              <w:widowControl/>
              <w:numPr>
                <w:ilvl w:val="0"/>
                <w:numId w:val="9"/>
              </w:numPr>
              <w:autoSpaceDE/>
              <w:autoSpaceDN/>
              <w:spacing w:after="160" w:line="259" w:lineRule="auto"/>
              <w:ind w:left="1281"/>
              <w:contextualSpacing/>
              <w:rPr>
                <w:rFonts w:asciiTheme="minorHAnsi" w:hAnsiTheme="minorHAnsi" w:cstheme="minorHAnsi"/>
              </w:rPr>
            </w:pPr>
            <w:r>
              <w:rPr>
                <w:rFonts w:asciiTheme="minorHAnsi" w:hAnsiTheme="minorHAnsi" w:cstheme="minorHAnsi"/>
              </w:rPr>
              <w:t xml:space="preserve">7.1. sadaļa: </w:t>
            </w:r>
            <w:r>
              <w:rPr>
                <w:rFonts w:asciiTheme="minorHAnsi" w:hAnsiTheme="minorHAnsi" w:cstheme="minorHAnsi"/>
                <w:lang w:val="en-GB"/>
              </w:rPr>
              <w:t>Izglītības un apmācības ekosistēmas jaunā “lielā lieta”.</w:t>
            </w:r>
          </w:p>
          <w:p>
            <w:pPr>
              <w:pStyle w:val="16"/>
              <w:widowControl/>
              <w:autoSpaceDE/>
              <w:autoSpaceDN/>
              <w:spacing w:after="160" w:line="259" w:lineRule="auto"/>
              <w:ind w:left="1560"/>
              <w:contextualSpacing/>
              <w:rPr>
                <w:rFonts w:asciiTheme="minorHAnsi" w:hAnsiTheme="minorHAnsi" w:cstheme="minorHAnsi"/>
                <w:b/>
                <w:bCs/>
              </w:rPr>
            </w:pPr>
          </w:p>
          <w:p>
            <w:pPr>
              <w:widowControl/>
              <w:autoSpaceDE/>
              <w:autoSpaceDN/>
              <w:spacing w:after="160" w:line="259" w:lineRule="auto"/>
              <w:contextualSpacing/>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Satura izstrāde</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jc w:val="both"/>
              <w:rPr>
                <w:rFonts w:asciiTheme="minorHAnsi" w:hAnsiTheme="minorHAnsi" w:cstheme="minorHAnsi"/>
                <w:b/>
                <w:bCs/>
              </w:rPr>
            </w:pPr>
            <w:bookmarkStart w:id="0" w:name="_Toc136951774"/>
            <w:r>
              <w:rPr>
                <w:rFonts w:eastAsia="Times New Roman" w:asciiTheme="minorHAnsi" w:hAnsiTheme="minorHAnsi" w:cstheme="minorHAnsi"/>
                <w:b/>
                <w:bCs/>
                <w:shd w:val="clear" w:color="auto" w:fill="FFFFFF"/>
                <w:lang w:eastAsia="es-ES"/>
              </w:rPr>
              <w:t xml:space="preserve">1. vienība: </w:t>
            </w:r>
            <w:bookmarkEnd w:id="0"/>
            <w:r>
              <w:rPr>
                <w:rFonts w:asciiTheme="minorHAnsi" w:hAnsiTheme="minorHAnsi" w:cstheme="minorHAnsi"/>
                <w:b/>
                <w:bCs/>
              </w:rPr>
              <w:t>EQAVET</w:t>
            </w:r>
          </w:p>
          <w:p>
            <w:pPr>
              <w:widowControl/>
              <w:autoSpaceDE/>
              <w:autoSpaceDN/>
              <w:jc w:val="both"/>
              <w:rPr>
                <w:rFonts w:asciiTheme="minorHAnsi" w:hAnsiTheme="minorHAnsi" w:cstheme="minorHAnsi"/>
                <w:b/>
                <w:bCs/>
                <w:lang w:eastAsia="es-ES"/>
              </w:rPr>
            </w:pPr>
          </w:p>
          <w:p>
            <w:pPr>
              <w:pStyle w:val="3"/>
              <w:numPr>
                <w:ilvl w:val="0"/>
                <w:numId w:val="10"/>
              </w:numPr>
              <w:jc w:val="both"/>
              <w:rPr>
                <w:rFonts w:asciiTheme="minorHAnsi" w:hAnsiTheme="minorHAnsi" w:cstheme="minorHAnsi"/>
                <w:b/>
                <w:bCs/>
                <w:color w:val="auto"/>
                <w:sz w:val="22"/>
                <w:szCs w:val="22"/>
                <w:shd w:val="clear" w:color="auto" w:fill="FFFFFF"/>
                <w:lang w:val="en-US"/>
              </w:rPr>
            </w:pPr>
            <w:bookmarkStart w:id="1" w:name="_Toc136951775"/>
            <w:r>
              <w:rPr>
                <w:rFonts w:eastAsia="Times New Roman" w:asciiTheme="minorHAnsi" w:hAnsiTheme="minorHAnsi" w:cstheme="minorHAnsi"/>
                <w:b/>
                <w:bCs/>
                <w:color w:val="auto"/>
                <w:sz w:val="22"/>
                <w:szCs w:val="22"/>
                <w:shd w:val="clear" w:color="auto" w:fill="FFFFFF"/>
                <w:lang w:val="en-US" w:eastAsia="es-ES"/>
              </w:rPr>
              <w:t xml:space="preserve">1.1. sadaļa: </w:t>
            </w:r>
            <w:r>
              <w:rPr>
                <w:rFonts w:eastAsia="Times New Roman" w:asciiTheme="minorHAnsi" w:hAnsiTheme="minorHAnsi" w:cstheme="minorHAnsi"/>
                <w:b/>
                <w:bCs/>
                <w:color w:val="auto"/>
                <w:sz w:val="22"/>
                <w:szCs w:val="22"/>
                <w:shd w:val="clear" w:color="auto" w:fill="FFFFFF"/>
                <w:lang w:val="en-US"/>
              </w:rPr>
              <w:t>Profesionālās izglītības nodrošināšanas kvalitātes nodrošināšanas sistēma</w:t>
            </w:r>
          </w:p>
          <w:bookmarkEnd w:id="1"/>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Eiropas kvalitātes nodrošināšanas (QA) atsauces ietvarstruktūra profesionālajai izglītībai un apmācībai (EQAVET) ir standarta ES mēroga sistēma, lai atbalstītu un stiprinātu kvalitātes nodrošināšanas mehānismus PIA nodrošināšanā.</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EQAVET ietvaru ir iedvesmojis tradicionālais DEMING cikls (plānošana → ieviešana → pārbaude → pārskatīšana → plānošana → utt.).</w:t>
            </w:r>
          </w:p>
          <w:p>
            <w:pPr>
              <w:widowControl/>
              <w:autoSpaceDE/>
              <w:autoSpaceDN/>
              <w:jc w:val="both"/>
              <w:rPr>
                <w:rFonts w:asciiTheme="minorHAnsi" w:hAnsiTheme="minorHAnsi" w:cstheme="minorHAnsi"/>
                <w:lang w:val="en-GB" w:eastAsia="es-ES"/>
              </w:rPr>
            </w:pPr>
            <w:r>
              <w:rPr>
                <w:rFonts w:asciiTheme="minorHAnsi" w:hAnsiTheme="minorHAnsi" w:cstheme="minorHAnsi"/>
                <w:lang w:val="en-GB" w:eastAsia="es-ES"/>
              </w:rPr>
              <w:t>EQAVET lietojumi un pielietojumi ir daudz un dažādi, ietvars saglabā savu atbilstību visos tipiskajos iestatījumos, kuros:</w:t>
            </w:r>
          </w:p>
          <w:p>
            <w:pPr>
              <w:widowControl/>
              <w:autoSpaceDE/>
              <w:autoSpaceDN/>
              <w:jc w:val="both"/>
              <w:rPr>
                <w:rFonts w:asciiTheme="minorHAnsi" w:hAnsiTheme="minorHAnsi" w:cstheme="minorHAnsi"/>
                <w:lang w:eastAsia="es-ES"/>
              </w:rPr>
            </w:pP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Tiek izstrādātas jaunas PIA programmas/procedūras</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Esošās PIA programmas/procedūras tiek pārskatītas un/vai atjauninātas</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Labi izveidotas PIA programmas/procedūras tiek uzraudzītas un novērtētas attiecībā uz to efektivitāti un līdz šim sasniegto ietekmi</w:t>
            </w:r>
          </w:p>
          <w:p>
            <w:pPr>
              <w:widowControl/>
              <w:autoSpaceDE/>
              <w:autoSpaceDN/>
              <w:jc w:val="both"/>
              <w:rPr>
                <w:rFonts w:asciiTheme="minorHAnsi" w:hAnsiTheme="minorHAnsi" w:cstheme="minorHAnsi"/>
                <w:lang w:val="en-GB" w:eastAsia="es-ES"/>
              </w:rPr>
            </w:pPr>
          </w:p>
          <w:p>
            <w:pPr>
              <w:widowControl/>
              <w:autoSpaceDE/>
              <w:autoSpaceDN/>
              <w:jc w:val="both"/>
              <w:rPr>
                <w:rFonts w:asciiTheme="minorHAnsi" w:hAnsiTheme="minorHAnsi" w:cstheme="minorHAnsi"/>
                <w:lang w:val="en-GB" w:eastAsia="es-ES"/>
              </w:rPr>
            </w:pPr>
            <w:r>
              <w:rPr>
                <w:rFonts w:asciiTheme="minorHAnsi" w:hAnsiTheme="minorHAnsi" w:cstheme="minorHAnsi"/>
                <w:lang w:val="en-GB" w:eastAsia="es-ES"/>
              </w:rPr>
              <w:drawing>
                <wp:inline distT="0" distB="0" distL="0" distR="0">
                  <wp:extent cx="4073525" cy="2016760"/>
                  <wp:effectExtent l="0" t="0" r="317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6"/>
                          <a:stretch>
                            <a:fillRect/>
                          </a:stretch>
                        </pic:blipFill>
                        <pic:spPr>
                          <a:xfrm>
                            <a:off x="0" y="0"/>
                            <a:ext cx="4073525" cy="2016760"/>
                          </a:xfrm>
                          <a:prstGeom prst="rect">
                            <a:avLst/>
                          </a:prstGeom>
                        </pic:spPr>
                      </pic:pic>
                    </a:graphicData>
                  </a:graphic>
                </wp:inline>
              </w:drawing>
            </w:r>
          </w:p>
          <w:p>
            <w:pPr>
              <w:widowControl/>
              <w:autoSpaceDE/>
              <w:autoSpaceDN/>
              <w:jc w:val="both"/>
              <w:rPr>
                <w:rFonts w:asciiTheme="minorHAnsi" w:hAnsiTheme="minorHAnsi" w:cstheme="minorHAnsi"/>
                <w:lang w:val="en-GB" w:eastAsia="es-ES"/>
              </w:rPr>
            </w:pPr>
          </w:p>
          <w:p>
            <w:pPr>
              <w:widowControl/>
              <w:autoSpaceDE/>
              <w:autoSpaceDN/>
              <w:jc w:val="both"/>
              <w:rPr>
                <w:rFonts w:asciiTheme="minorHAnsi" w:hAnsiTheme="minorHAnsi" w:cstheme="minorHAnsi"/>
                <w:b/>
                <w:bCs/>
                <w:lang w:eastAsia="es-ES"/>
              </w:rPr>
            </w:pPr>
            <w:r>
              <w:rPr>
                <w:rFonts w:asciiTheme="minorHAnsi" w:hAnsiTheme="minorHAnsi" w:cstheme="minorHAnsi"/>
                <w:b/>
                <w:bCs/>
                <w:lang w:eastAsia="es-ES"/>
              </w:rPr>
              <w:t>Divkārša aplikācijas dimensija</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Sistēmas līmenis</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EQAVET sistēmas piemērošana sistēmas līmenī palīdz dalībvalstīm un reģionālajām iestādēm labāk izprast savu PIA sistēmu efektīvo kvalitāti un ietekmi.</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 xml:space="preserve">īpaši </w:t>
            </w:r>
            <w:r>
              <w:fldChar w:fldCharType="begin"/>
            </w:r>
            <w:r>
              <w:instrText xml:space="preserve"> HYPERLINK "https://ec.europa.eu/social/BlobServlet?docId=25470&amp;langId=en" </w:instrText>
            </w:r>
            <w:r>
              <w:fldChar w:fldCharType="separate"/>
            </w:r>
            <w:r>
              <w:rPr>
                <w:rStyle w:val="10"/>
                <w:rFonts w:asciiTheme="minorHAnsi" w:hAnsiTheme="minorHAnsi" w:cstheme="minorHAnsi"/>
                <w:lang w:val="en-GB" w:eastAsia="es-ES"/>
              </w:rPr>
              <w:t xml:space="preserve">rādītāji </w:t>
            </w:r>
            <w:r>
              <w:rPr>
                <w:rStyle w:val="10"/>
                <w:rFonts w:asciiTheme="minorHAnsi" w:hAnsiTheme="minorHAnsi" w:cstheme="minorHAnsi"/>
                <w:lang w:val="en-GB" w:eastAsia="es-ES"/>
              </w:rPr>
              <w:fldChar w:fldCharType="end"/>
            </w:r>
            <w:r>
              <w:rPr>
                <w:rFonts w:asciiTheme="minorHAnsi" w:hAnsiTheme="minorHAnsi" w:cstheme="minorHAnsi"/>
                <w:lang w:val="en-GB" w:eastAsia="es-ES"/>
              </w:rPr>
              <w:t>, lai atbalstītu PIA ekosistēmas ilglaicīgu uzlabošanos kopumā.</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Prakses līmenis</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EQUAVET ietvara pielietojums prakses līmenī palīdz izglītības un apmācības profesionāļiem labāk pielāgot savu piedāvājumu prasmēm, kas ir ļoti pieprasītas no darba marķiera .</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 xml:space="preserve">Katram ietvara ciklam ir īpaši </w:t>
            </w:r>
            <w:r>
              <w:fldChar w:fldCharType="begin"/>
            </w:r>
            <w:r>
              <w:instrText xml:space="preserve"> HYPERLINK "https://ec.europa.eu/social/BlobServlet?docId=25471&amp;langId=en" </w:instrText>
            </w:r>
            <w:r>
              <w:fldChar w:fldCharType="separate"/>
            </w:r>
            <w:r>
              <w:rPr>
                <w:rStyle w:val="10"/>
                <w:rFonts w:asciiTheme="minorHAnsi" w:hAnsiTheme="minorHAnsi" w:cstheme="minorHAnsi"/>
                <w:lang w:val="en-GB" w:eastAsia="es-ES"/>
              </w:rPr>
              <w:t>rādītāji , lai palielinātu PIA profesionāļu elastību un atsaucību.</w:t>
            </w:r>
            <w:r>
              <w:rPr>
                <w:rStyle w:val="10"/>
                <w:rFonts w:asciiTheme="minorHAnsi" w:hAnsiTheme="minorHAnsi" w:cstheme="minorHAnsi"/>
                <w:lang w:val="en-GB" w:eastAsia="es-ES"/>
              </w:rPr>
              <w:fldChar w:fldCharType="end"/>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b/>
                <w:bCs/>
                <w:lang w:eastAsia="es-ES"/>
              </w:rPr>
            </w:pPr>
            <w:r>
              <w:rPr>
                <w:rFonts w:asciiTheme="minorHAnsi" w:hAnsiTheme="minorHAnsi" w:cstheme="minorHAnsi"/>
                <w:b/>
                <w:bCs/>
                <w:lang w:eastAsia="es-ES"/>
              </w:rPr>
              <w:t>2. vienība: EKI</w:t>
            </w:r>
          </w:p>
          <w:p>
            <w:pPr>
              <w:widowControl/>
              <w:autoSpaceDE/>
              <w:autoSpaceDN/>
              <w:jc w:val="both"/>
              <w:rPr>
                <w:rFonts w:asciiTheme="minorHAnsi" w:hAnsiTheme="minorHAnsi" w:cstheme="minorHAnsi"/>
                <w:b/>
                <w:bCs/>
                <w:lang w:eastAsia="es-ES"/>
              </w:rPr>
            </w:pPr>
          </w:p>
          <w:p>
            <w:pPr>
              <w:pStyle w:val="3"/>
              <w:numPr>
                <w:ilvl w:val="0"/>
                <w:numId w:val="10"/>
              </w:numPr>
              <w:jc w:val="both"/>
              <w:rPr>
                <w:rFonts w:asciiTheme="minorHAnsi" w:hAnsiTheme="minorHAnsi" w:cstheme="minorHAnsi"/>
                <w:b/>
                <w:bCs/>
                <w:color w:val="auto"/>
                <w:sz w:val="22"/>
                <w:szCs w:val="22"/>
                <w:shd w:val="clear" w:color="auto" w:fill="FFFFFF"/>
                <w:lang w:val="en-US"/>
              </w:rPr>
            </w:pPr>
            <w:bookmarkStart w:id="2" w:name="_Toc136951776"/>
            <w:r>
              <w:rPr>
                <w:rFonts w:eastAsia="Times New Roman" w:asciiTheme="minorHAnsi" w:hAnsiTheme="minorHAnsi" w:cstheme="minorHAnsi"/>
                <w:b/>
                <w:bCs/>
                <w:color w:val="auto"/>
                <w:sz w:val="22"/>
                <w:szCs w:val="22"/>
                <w:shd w:val="clear" w:color="auto" w:fill="FFFFFF"/>
                <w:lang w:val="en-US" w:eastAsia="es-ES"/>
              </w:rPr>
              <w:t xml:space="preserve">2.1. sadaļa: </w:t>
            </w:r>
            <w:r>
              <w:rPr>
                <w:rFonts w:eastAsia="Times New Roman" w:asciiTheme="minorHAnsi" w:hAnsiTheme="minorHAnsi" w:cstheme="minorHAnsi"/>
                <w:b/>
                <w:bCs/>
                <w:color w:val="auto"/>
                <w:sz w:val="22"/>
                <w:szCs w:val="22"/>
                <w:shd w:val="clear" w:color="auto" w:fill="FFFFFF"/>
                <w:lang w:val="en-US"/>
              </w:rPr>
              <w:t>Eiropas kvalifikāciju ietvarstruktūra</w:t>
            </w:r>
          </w:p>
          <w:bookmarkEnd w:id="2"/>
          <w:p>
            <w:pPr>
              <w:pStyle w:val="3"/>
              <w:ind w:left="720"/>
              <w:jc w:val="both"/>
              <w:outlineLvl w:val="2"/>
              <w:rPr>
                <w:rFonts w:eastAsia="Times New Roman" w:asciiTheme="minorHAnsi" w:hAnsiTheme="minorHAnsi" w:cstheme="minorHAnsi"/>
                <w:b/>
                <w:bCs/>
                <w:color w:val="auto"/>
                <w:sz w:val="22"/>
                <w:szCs w:val="22"/>
                <w:shd w:val="clear" w:color="auto" w:fill="FFFFFF"/>
                <w:lang w:val="en-US" w:eastAsia="es-ES"/>
              </w:rPr>
            </w:pPr>
          </w:p>
          <w:p>
            <w:pPr>
              <w:widowControl/>
              <w:autoSpaceDE/>
              <w:autoSpaceDN/>
              <w:jc w:val="both"/>
              <w:rPr>
                <w:rFonts w:asciiTheme="minorHAnsi" w:hAnsiTheme="minorHAnsi" w:cstheme="minorHAnsi"/>
                <w:highlight w:val="magenta"/>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EKI ir starpvalstu sistēma, ko izmanto, lai palielinātu cilvēku kvalifikāciju salīdzināmību, caurskatāmību un starptautisko pārnesamību starpvalstu līmenī. EKI pašlaik ir pieņēmušas visas ES dalībvalstis un citas 11 valstis*, un tas nodrošina ļoti visaptverošu visu iespējamo kvalifikāciju pakāpju kartēšanu.</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Ir paredzēti astoņi uz mācīšanās rezultātiem balstīti kvalifikāciju līmeņi, kur 1. un 8. līmenis attiecīgi ir zemākais un augstākais iespējamais kvalifikāciju līmenis.</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Izstrādājot un stratēģējot apmācību programmu saturu un vēlamos mācību rezultātus, profesionālās izglītības nodrošinātājiem ieteicams ieskatīties EKI un salīdzināt, kāds ir viņu piedāvājuma izvietojums.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lang w:eastAsia="es-ES"/>
              </w:rPr>
              <w:t>Mācību rezultātus nosaka zināšanu , prasmju un autonomijas izteiksmē</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Zināšanas</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EKI kontekstā zināšanas tiek raksturotas kā teorētiskas un/vai faktiskas.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Prasmes</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EKI kontekstā prasmes tiek raksturotas kā kognitīvas (ietver loģiskās, intuitīvās un radošās domāšanas izmantošanu) un praktiskas (ietver roku veiklību un metožu, materiālu, rīku un instrumentu izmantošanu).</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Atbildība</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EKI kontekstā atbildība un autonomija tiek raksturota kā izglītojamā spēja patstāvīgi un ar atbildību pielietot zināšanas un prasmes.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drawing>
                <wp:inline distT="0" distB="0" distL="0" distR="0">
                  <wp:extent cx="4073525" cy="1990090"/>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a:blip r:embed="rId7"/>
                          <a:stretch>
                            <a:fillRect/>
                          </a:stretch>
                        </pic:blipFill>
                        <pic:spPr>
                          <a:xfrm>
                            <a:off x="0" y="0"/>
                            <a:ext cx="4073525" cy="1990090"/>
                          </a:xfrm>
                          <a:prstGeom prst="rect">
                            <a:avLst/>
                          </a:prstGeom>
                        </pic:spPr>
                      </pic:pic>
                    </a:graphicData>
                  </a:graphic>
                </wp:inline>
              </w:drawing>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b/>
                <w:bCs/>
              </w:rPr>
            </w:pPr>
            <w:r>
              <w:rPr>
                <w:rFonts w:asciiTheme="minorHAnsi" w:hAnsiTheme="minorHAnsi" w:cstheme="minorHAnsi"/>
                <w:b/>
                <w:bCs/>
                <w:lang w:eastAsia="es-ES"/>
              </w:rPr>
              <w:t xml:space="preserve">3. nodaļa: </w:t>
            </w:r>
            <w:r>
              <w:rPr>
                <w:rFonts w:asciiTheme="minorHAnsi" w:hAnsiTheme="minorHAnsi" w:cstheme="minorHAnsi"/>
                <w:b/>
                <w:bCs/>
              </w:rPr>
              <w:t>CEDEFOP – ES PIA attīstības centrs</w:t>
            </w:r>
          </w:p>
          <w:p>
            <w:pPr>
              <w:widowControl/>
              <w:autoSpaceDE/>
              <w:autoSpaceDN/>
              <w:jc w:val="both"/>
              <w:rPr>
                <w:rFonts w:asciiTheme="minorHAnsi" w:hAnsiTheme="minorHAnsi" w:cstheme="minorHAnsi"/>
                <w:lang w:eastAsia="es-ES"/>
              </w:rPr>
            </w:pPr>
          </w:p>
          <w:p>
            <w:pPr>
              <w:pStyle w:val="3"/>
              <w:numPr>
                <w:ilvl w:val="0"/>
                <w:numId w:val="10"/>
              </w:numPr>
              <w:jc w:val="both"/>
              <w:rPr>
                <w:rFonts w:asciiTheme="minorHAnsi" w:hAnsiTheme="minorHAnsi" w:cstheme="minorHAnsi"/>
                <w:b/>
                <w:bCs/>
                <w:color w:val="auto"/>
                <w:sz w:val="22"/>
                <w:szCs w:val="22"/>
                <w:shd w:val="clear" w:color="auto" w:fill="FFFFFF"/>
                <w:lang w:val="en-US"/>
              </w:rPr>
            </w:pPr>
            <w:bookmarkStart w:id="3" w:name="_Toc136951777"/>
            <w:r>
              <w:rPr>
                <w:rFonts w:eastAsia="Times New Roman" w:asciiTheme="minorHAnsi" w:hAnsiTheme="minorHAnsi" w:cstheme="minorHAnsi"/>
                <w:b/>
                <w:bCs/>
                <w:color w:val="auto"/>
                <w:sz w:val="22"/>
                <w:szCs w:val="22"/>
                <w:shd w:val="clear" w:color="auto" w:fill="FFFFFF"/>
                <w:lang w:val="en-US" w:eastAsia="es-ES"/>
              </w:rPr>
              <w:t xml:space="preserve">3.1. sadaļa: </w:t>
            </w:r>
            <w:r>
              <w:rPr>
                <w:rFonts w:eastAsia="Times New Roman" w:asciiTheme="minorHAnsi" w:hAnsiTheme="minorHAnsi" w:cstheme="minorHAnsi"/>
                <w:b/>
                <w:bCs/>
                <w:color w:val="auto"/>
                <w:sz w:val="22"/>
                <w:szCs w:val="22"/>
                <w:shd w:val="clear" w:color="auto" w:fill="FFFFFF"/>
                <w:lang w:val="en-US"/>
              </w:rPr>
              <w:t>Profesionālās izglītības un apmācības datubāze</w:t>
            </w:r>
          </w:p>
          <w:bookmarkEnd w:id="3"/>
          <w:p>
            <w:pPr>
              <w:pStyle w:val="3"/>
              <w:ind w:left="720"/>
              <w:jc w:val="both"/>
              <w:outlineLvl w:val="2"/>
              <w:rPr>
                <w:rFonts w:eastAsia="Times New Roman" w:asciiTheme="minorHAnsi" w:hAnsiTheme="minorHAnsi" w:cstheme="minorHAnsi"/>
                <w:b/>
                <w:bCs/>
                <w:color w:val="auto"/>
                <w:sz w:val="22"/>
                <w:szCs w:val="22"/>
                <w:lang w:val="en-US" w:eastAsia="es-ES"/>
              </w:rPr>
            </w:pPr>
          </w:p>
          <w:p>
            <w:pPr>
              <w:widowControl/>
              <w:autoSpaceDE/>
              <w:autoSpaceDN/>
              <w:jc w:val="both"/>
              <w:rPr>
                <w:rFonts w:asciiTheme="minorHAnsi" w:hAnsiTheme="minorHAnsi" w:cstheme="minorHAnsi"/>
                <w:shd w:val="clear" w:color="auto" w:fill="FFFFFF"/>
                <w:lang w:eastAsia="es-ES"/>
              </w:rPr>
            </w:pPr>
            <w:r>
              <w:rPr>
                <w:rFonts w:asciiTheme="minorHAnsi" w:hAnsiTheme="minorHAnsi" w:cstheme="minorHAnsi"/>
                <w:shd w:val="clear" w:color="auto" w:fill="FFFFFF"/>
                <w:lang w:val="en-GB" w:eastAsia="es-ES"/>
              </w:rPr>
              <w:t>CEDEFOP ir ES izglītības un apmācības attīstības aģentūra. Aģentūras oficiālajā tīmekļa vietnē ir pieejami vairāki stratēģiski resursi PIA nodrošinātājiem visā Eiropā.</w:t>
            </w:r>
          </w:p>
          <w:p>
            <w:pPr>
              <w:widowControl/>
              <w:autoSpaceDE/>
              <w:autoSpaceDN/>
              <w:jc w:val="both"/>
              <w:rPr>
                <w:rFonts w:asciiTheme="minorHAnsi" w:hAnsiTheme="minorHAnsi" w:cstheme="minorHAnsi"/>
                <w:shd w:val="clear" w:color="auto" w:fill="FFFFFF"/>
                <w:lang w:eastAsia="es-ES"/>
              </w:rPr>
            </w:pPr>
            <w:r>
              <w:rPr>
                <w:rFonts w:asciiTheme="minorHAnsi" w:hAnsiTheme="minorHAnsi" w:cstheme="minorHAnsi"/>
                <w:shd w:val="clear" w:color="auto" w:fill="FFFFFF"/>
                <w:lang w:val="en-GB" w:eastAsia="es-ES"/>
              </w:rPr>
              <w:t xml:space="preserve">Šāda veida resursi sniedzas no </w:t>
            </w:r>
            <w:r>
              <w:fldChar w:fldCharType="begin"/>
            </w:r>
            <w:r>
              <w:instrText xml:space="preserve"> HYPERLINK "https://www.cedefop.europa.eu/en/publications-and-reports" </w:instrText>
            </w:r>
            <w:r>
              <w:fldChar w:fldCharType="separate"/>
            </w:r>
            <w:r>
              <w:rPr>
                <w:rStyle w:val="10"/>
                <w:rFonts w:asciiTheme="minorHAnsi" w:hAnsiTheme="minorHAnsi" w:cstheme="minorHAnsi"/>
                <w:shd w:val="clear" w:color="auto" w:fill="FFFFFF"/>
                <w:lang w:val="en-GB" w:eastAsia="es-ES"/>
              </w:rPr>
              <w:t xml:space="preserve">publikācijām un ziņojumiem </w:t>
            </w:r>
            <w:r>
              <w:rPr>
                <w:rStyle w:val="10"/>
                <w:rFonts w:asciiTheme="minorHAnsi" w:hAnsiTheme="minorHAnsi" w:cstheme="minorHAnsi"/>
                <w:shd w:val="clear" w:color="auto" w:fill="FFFFFF"/>
                <w:lang w:val="en-GB" w:eastAsia="es-ES"/>
              </w:rPr>
              <w:fldChar w:fldCharType="end"/>
            </w:r>
            <w:r>
              <w:rPr>
                <w:rFonts w:asciiTheme="minorHAnsi" w:hAnsiTheme="minorHAnsi" w:cstheme="minorHAnsi"/>
                <w:shd w:val="clear" w:color="auto" w:fill="FFFFFF"/>
                <w:lang w:val="en-GB" w:eastAsia="es-ES"/>
              </w:rPr>
              <w:t xml:space="preserve">līdz operatīviem tiešsaistes rīkiem, kas pieejami profesionāļiem no visdažādākajām </w:t>
            </w:r>
            <w:r>
              <w:fldChar w:fldCharType="begin"/>
            </w:r>
            <w:r>
              <w:instrText xml:space="preserve"> HYPERLINK "https://www.cedefop.europa.eu/en/themes" </w:instrText>
            </w:r>
            <w:r>
              <w:fldChar w:fldCharType="separate"/>
            </w:r>
            <w:r>
              <w:rPr>
                <w:rStyle w:val="10"/>
                <w:rFonts w:asciiTheme="minorHAnsi" w:hAnsiTheme="minorHAnsi" w:cstheme="minorHAnsi"/>
                <w:shd w:val="clear" w:color="auto" w:fill="FFFFFF"/>
                <w:lang w:val="en-GB" w:eastAsia="es-ES"/>
              </w:rPr>
              <w:t xml:space="preserve">tēmām </w:t>
            </w:r>
            <w:r>
              <w:rPr>
                <w:rStyle w:val="10"/>
                <w:rFonts w:asciiTheme="minorHAnsi" w:hAnsiTheme="minorHAnsi" w:cstheme="minorHAnsi"/>
                <w:shd w:val="clear" w:color="auto" w:fill="FFFFFF"/>
                <w:lang w:val="en-GB" w:eastAsia="es-ES"/>
              </w:rPr>
              <w:fldChar w:fldCharType="end"/>
            </w:r>
            <w:r>
              <w:rPr>
                <w:rFonts w:asciiTheme="minorHAnsi" w:hAnsiTheme="minorHAnsi" w:cstheme="minorHAnsi"/>
                <w:shd w:val="clear" w:color="auto" w:fill="FFFFFF"/>
                <w:lang w:val="en-GB" w:eastAsia="es-ES"/>
              </w:rPr>
              <w:t>.</w:t>
            </w:r>
          </w:p>
          <w:p>
            <w:pPr>
              <w:widowControl/>
              <w:autoSpaceDE/>
              <w:autoSpaceDN/>
              <w:jc w:val="both"/>
              <w:rPr>
                <w:rFonts w:asciiTheme="minorHAnsi" w:hAnsiTheme="minorHAnsi" w:cstheme="minorHAnsi"/>
                <w:shd w:val="clear" w:color="auto" w:fill="FFFFFF"/>
                <w:lang w:eastAsia="es-ES"/>
              </w:rPr>
            </w:pPr>
            <w:r>
              <w:rPr>
                <w:rFonts w:asciiTheme="minorHAnsi" w:hAnsiTheme="minorHAnsi" w:cstheme="minorHAnsi"/>
                <w:shd w:val="clear" w:color="auto" w:fill="FFFFFF"/>
                <w:lang w:val="en-GB" w:eastAsia="es-ES"/>
              </w:rPr>
              <w:t xml:space="preserve">Vissvarīgākais ir tas, ka sadarbībā ar Eiropas Komisiju CEDEFOPS aktīvi darbojas, lai konkrēti piemērotu ES Parlamenta un Padomes </w:t>
            </w:r>
            <w:r>
              <w:fldChar w:fldCharType="begin"/>
            </w:r>
            <w:r>
              <w:instrText xml:space="preserve"> HYPERLINK "https://eur-lex.europa.eu/legal-content/EN/ALL/?uri=CELEX:32009H0708%2802%29" </w:instrText>
            </w:r>
            <w:r>
              <w:fldChar w:fldCharType="separate"/>
            </w:r>
            <w:r>
              <w:rPr>
                <w:rStyle w:val="10"/>
                <w:rFonts w:asciiTheme="minorHAnsi" w:hAnsiTheme="minorHAnsi" w:cstheme="minorHAnsi"/>
                <w:shd w:val="clear" w:color="auto" w:fill="FFFFFF"/>
                <w:lang w:val="en-GB" w:eastAsia="es-ES"/>
              </w:rPr>
              <w:t xml:space="preserve">2009. gada ECVET ieteikumu </w:t>
            </w:r>
            <w:r>
              <w:rPr>
                <w:rStyle w:val="10"/>
                <w:rFonts w:asciiTheme="minorHAnsi" w:hAnsiTheme="minorHAnsi" w:cstheme="minorHAnsi"/>
                <w:shd w:val="clear" w:color="auto" w:fill="FFFFFF"/>
                <w:lang w:val="en-GB" w:eastAsia="es-ES"/>
              </w:rPr>
              <w:fldChar w:fldCharType="end"/>
            </w:r>
            <w:r>
              <w:rPr>
                <w:rFonts w:asciiTheme="minorHAnsi" w:hAnsiTheme="minorHAnsi" w:cstheme="minorHAnsi"/>
                <w:shd w:val="clear" w:color="auto" w:fill="FFFFFF"/>
                <w:lang w:val="en-GB" w:eastAsia="es-ES"/>
              </w:rPr>
              <w:t>— kopīgu ES instrumentu, lai palīdzētu personām pārnest un uzkrāt mācību rezultātus visā ES.</w:t>
            </w:r>
          </w:p>
          <w:p>
            <w:pPr>
              <w:pStyle w:val="2"/>
              <w:jc w:val="both"/>
              <w:outlineLvl w:val="1"/>
              <w:rPr>
                <w:rFonts w:eastAsia="Times New Roman" w:asciiTheme="minorHAnsi" w:hAnsiTheme="minorHAnsi" w:cstheme="minorHAnsi"/>
                <w:color w:val="auto"/>
                <w:shd w:val="clear" w:color="auto" w:fill="FFFFFF"/>
                <w:lang w:val="en-US" w:eastAsia="es-ES"/>
              </w:rPr>
            </w:pPr>
          </w:p>
          <w:p>
            <w:pPr>
              <w:widowControl/>
              <w:autoSpaceDE/>
              <w:autoSpaceDN/>
              <w:rPr>
                <w:rFonts w:asciiTheme="minorHAnsi" w:hAnsiTheme="minorHAnsi" w:cstheme="minorHAnsi"/>
                <w:lang w:eastAsia="es-ES"/>
              </w:rPr>
            </w:pPr>
            <w:r>
              <w:rPr>
                <w:rFonts w:asciiTheme="minorHAnsi" w:hAnsiTheme="minorHAnsi" w:cstheme="minorHAnsi"/>
                <w:b/>
                <w:bCs/>
                <w:lang w:eastAsia="es-ES"/>
              </w:rPr>
              <w:t>Tiešsaistes rīki</w:t>
            </w:r>
          </w:p>
          <w:tbl>
            <w:tblPr>
              <w:tblStyle w:val="5"/>
              <w:tblW w:w="6090" w:type="dxa"/>
              <w:tblInd w:w="0" w:type="dxa"/>
              <w:tblLayout w:type="fixed"/>
              <w:tblCellMar>
                <w:top w:w="0" w:type="dxa"/>
                <w:left w:w="0" w:type="dxa"/>
                <w:bottom w:w="0" w:type="dxa"/>
                <w:right w:w="0" w:type="dxa"/>
              </w:tblCellMar>
            </w:tblPr>
            <w:tblGrid>
              <w:gridCol w:w="1979"/>
              <w:gridCol w:w="1276"/>
              <w:gridCol w:w="1559"/>
              <w:gridCol w:w="1276"/>
            </w:tblGrid>
            <w:tr>
              <w:tblPrEx>
                <w:tblCellMar>
                  <w:top w:w="0" w:type="dxa"/>
                  <w:left w:w="0" w:type="dxa"/>
                  <w:bottom w:w="0" w:type="dxa"/>
                  <w:right w:w="0" w:type="dxa"/>
                </w:tblCellMar>
              </w:tblPrEx>
              <w:trPr>
                <w:trHeight w:val="622" w:hRule="atLeast"/>
              </w:trPr>
              <w:tc>
                <w:tcPr>
                  <w:tcW w:w="197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CEDEFOP Eiropas datu bāze par mācekļu programmām</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Pieaugušo izglītības datubāzes finansēšana</w:t>
                  </w:r>
                </w:p>
              </w:tc>
              <w:tc>
                <w:tcPr>
                  <w:tcW w:w="155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Nacionālās kvalifikāciju ietvarstruktūras tiešsaistes rīki</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Prasmes-OVATE</w:t>
                  </w:r>
                </w:p>
              </w:tc>
            </w:tr>
            <w:tr>
              <w:tblPrEx>
                <w:tblCellMar>
                  <w:top w:w="0" w:type="dxa"/>
                  <w:left w:w="0" w:type="dxa"/>
                  <w:bottom w:w="0" w:type="dxa"/>
                  <w:right w:w="0" w:type="dxa"/>
                </w:tblCellMar>
              </w:tblPrEx>
              <w:trPr>
                <w:trHeight w:val="622" w:hRule="atLeast"/>
              </w:trPr>
              <w:tc>
                <w:tcPr>
                  <w:tcW w:w="197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 xml:space="preserve">Eiropas datubāze par neformālo un neformālo lea </w:t>
                  </w:r>
                  <w:r>
                    <w:rPr>
                      <w:rFonts w:asciiTheme="minorHAnsi" w:hAnsiTheme="minorHAnsi" w:cstheme="minorHAnsi"/>
                      <w:b/>
                      <w:bCs/>
                      <w:lang w:eastAsia="es-ES"/>
                    </w:rPr>
                    <w:t>tiešsaistes rīku validāciju</w:t>
                  </w:r>
                </w:p>
                <w:p>
                  <w:pPr>
                    <w:widowControl/>
                    <w:autoSpaceDE/>
                    <w:autoSpaceDN/>
                    <w:rPr>
                      <w:rFonts w:asciiTheme="minorHAnsi" w:hAnsiTheme="minorHAnsi" w:cstheme="minorHAnsi"/>
                      <w:lang w:val="es-ES" w:eastAsia="es-ES"/>
                    </w:rPr>
                  </w:pPr>
                  <w:r>
                    <w:rPr>
                      <w:rFonts w:asciiTheme="minorHAnsi" w:hAnsiTheme="minorHAnsi" w:cstheme="minorHAnsi"/>
                      <w:lang w:eastAsia="es-ES"/>
                    </w:rPr>
                    <w:t>zvana</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Finansēšanas mācekļu datu bāze</w:t>
                  </w:r>
                </w:p>
              </w:tc>
              <w:tc>
                <w:tcPr>
                  <w:tcW w:w="155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Viedokļu aptauja par PIA</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Eiropas izglītības un apmācības politikas terminoloģija</w:t>
                  </w:r>
                </w:p>
              </w:tc>
            </w:tr>
            <w:tr>
              <w:tblPrEx>
                <w:tblCellMar>
                  <w:top w:w="0" w:type="dxa"/>
                  <w:left w:w="0" w:type="dxa"/>
                  <w:bottom w:w="0" w:type="dxa"/>
                  <w:right w:w="0" w:type="dxa"/>
                </w:tblCellMar>
              </w:tblPrEx>
              <w:trPr>
                <w:trHeight w:val="622" w:hRule="atLeast"/>
              </w:trPr>
              <w:tc>
                <w:tcPr>
                  <w:tcW w:w="197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Eiropas prasmju un darba apsekojums</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Galvenie PIA rādītāji</w:t>
                  </w:r>
                </w:p>
              </w:tc>
              <w:tc>
                <w:tcPr>
                  <w:tcW w:w="155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Resurss norādījumiem</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PIA Eiropā datubāze</w:t>
                  </w:r>
                </w:p>
              </w:tc>
            </w:tr>
            <w:tr>
              <w:tblPrEx>
                <w:tblCellMar>
                  <w:top w:w="0" w:type="dxa"/>
                  <w:left w:w="0" w:type="dxa"/>
                  <w:bottom w:w="0" w:type="dxa"/>
                  <w:right w:w="0" w:type="dxa"/>
                </w:tblCellMar>
              </w:tblPrEx>
              <w:trPr>
                <w:trHeight w:val="622" w:hRule="atLeast"/>
              </w:trPr>
              <w:tc>
                <w:tcPr>
                  <w:tcW w:w="197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Eiropas prasmju indekss</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Atbilstošās prasmes</w:t>
                  </w:r>
                </w:p>
              </w:tc>
              <w:tc>
                <w:tcPr>
                  <w:tcW w:w="155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Prasmju prognoze</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PIA instrumentu kopums NEET iespēju nodrošināšanai</w:t>
                  </w:r>
                </w:p>
              </w:tc>
            </w:tr>
            <w:tr>
              <w:tblPrEx>
                <w:tblCellMar>
                  <w:top w:w="0" w:type="dxa"/>
                  <w:left w:w="0" w:type="dxa"/>
                  <w:bottom w:w="0" w:type="dxa"/>
                  <w:right w:w="0" w:type="dxa"/>
                </w:tblCellMar>
              </w:tblPrEx>
              <w:trPr>
                <w:trHeight w:val="622" w:hRule="atLeast"/>
              </w:trPr>
              <w:tc>
                <w:tcPr>
                  <w:tcW w:w="197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Eiropas PIA politikas informācijas panelis</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Mobilitātes rezultātu tablo datu bāze</w:t>
                  </w:r>
                </w:p>
              </w:tc>
              <w:tc>
                <w:tcPr>
                  <w:tcW w:w="1559"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val="es-ES" w:eastAsia="es-ES"/>
                    </w:rPr>
                  </w:pPr>
                  <w:r>
                    <w:rPr>
                      <w:rFonts w:asciiTheme="minorHAnsi" w:hAnsiTheme="minorHAnsi" w:cstheme="minorHAnsi"/>
                      <w:lang w:eastAsia="es-ES"/>
                    </w:rPr>
                    <w:t>Prasmes Intelekts</w:t>
                  </w:r>
                </w:p>
              </w:tc>
              <w:tc>
                <w:tcPr>
                  <w:tcW w:w="1276" w:type="dxa"/>
                  <w:tcBorders>
                    <w:top w:val="single" w:color="7F7F7F" w:sz="8" w:space="0"/>
                    <w:left w:val="single" w:color="7F7F7F" w:sz="8" w:space="0"/>
                    <w:bottom w:val="single" w:color="7F7F7F" w:sz="8" w:space="0"/>
                    <w:right w:val="single" w:color="7F7F7F" w:sz="8" w:space="0"/>
                  </w:tcBorders>
                  <w:shd w:val="clear" w:color="auto" w:fill="auto"/>
                  <w:tcMar>
                    <w:top w:w="72" w:type="dxa"/>
                    <w:left w:w="144" w:type="dxa"/>
                    <w:bottom w:w="72" w:type="dxa"/>
                    <w:right w:w="144" w:type="dxa"/>
                  </w:tcMar>
                  <w:vAlign w:val="center"/>
                </w:tcPr>
                <w:p>
                  <w:pPr>
                    <w:widowControl/>
                    <w:autoSpaceDE/>
                    <w:autoSpaceDN/>
                    <w:rPr>
                      <w:rFonts w:asciiTheme="minorHAnsi" w:hAnsiTheme="minorHAnsi" w:cstheme="minorHAnsi"/>
                      <w:lang w:eastAsia="es-ES"/>
                    </w:rPr>
                  </w:pPr>
                  <w:r>
                    <w:rPr>
                      <w:rFonts w:asciiTheme="minorHAnsi" w:hAnsiTheme="minorHAnsi" w:cstheme="minorHAnsi"/>
                      <w:lang w:eastAsia="es-ES"/>
                    </w:rPr>
                    <w:t>PIA instrumentu kopums priekšlaicīgas pamešanas novēršanai</w:t>
                  </w:r>
                </w:p>
              </w:tc>
            </w:tr>
          </w:tbl>
          <w:p>
            <w:pPr>
              <w:widowControl/>
              <w:autoSpaceDE/>
              <w:autoSpaceDN/>
              <w:rPr>
                <w:rFonts w:asciiTheme="minorHAnsi" w:hAnsiTheme="minorHAnsi" w:cstheme="minorHAnsi"/>
                <w:lang w:eastAsia="es-ES"/>
              </w:rPr>
            </w:pPr>
            <w:r>
              <w:rPr>
                <w:rFonts w:asciiTheme="minorHAnsi" w:hAnsiTheme="minorHAnsi" w:cstheme="minorHAnsi"/>
                <w:lang w:eastAsia="es-ES"/>
              </w:rPr>
              <w:t xml:space="preserve">Avots: </w:t>
            </w:r>
            <w:r>
              <w:fldChar w:fldCharType="begin"/>
            </w:r>
            <w:r>
              <w:instrText xml:space="preserve"> HYPERLINK "https://www.cedefop.europa.eu/en/online-tools" </w:instrText>
            </w:r>
            <w:r>
              <w:fldChar w:fldCharType="separate"/>
            </w:r>
            <w:r>
              <w:rPr>
                <w:rStyle w:val="10"/>
                <w:rFonts w:asciiTheme="minorHAnsi" w:hAnsiTheme="minorHAnsi" w:cstheme="minorHAnsi"/>
                <w:lang w:eastAsia="es-ES"/>
              </w:rPr>
              <w:t>CEDEFOP</w:t>
            </w:r>
            <w:r>
              <w:rPr>
                <w:rStyle w:val="10"/>
                <w:rFonts w:asciiTheme="minorHAnsi" w:hAnsiTheme="minorHAnsi" w:cstheme="minorHAnsi"/>
                <w:lang w:eastAsia="es-ES"/>
              </w:rPr>
              <w:fldChar w:fldCharType="end"/>
            </w:r>
            <w:r>
              <w:rPr>
                <w:rFonts w:asciiTheme="minorHAnsi" w:hAnsiTheme="minorHAnsi" w:cstheme="minorHAnsi"/>
                <w:lang w:eastAsia="es-ES"/>
              </w:rPr>
              <w:t xml:space="preserve"> </w:t>
            </w:r>
          </w:p>
          <w:p>
            <w:pPr>
              <w:widowControl/>
              <w:autoSpaceDE/>
              <w:autoSpaceDN/>
              <w:rPr>
                <w:rFonts w:asciiTheme="minorHAnsi" w:hAnsiTheme="minorHAnsi" w:cstheme="minorHAnsi"/>
                <w:lang w:eastAsia="es-ES"/>
              </w:rPr>
            </w:pPr>
          </w:p>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bookmarkStart w:id="4" w:name="_Toc136951778"/>
          </w:p>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p>
          <w:p>
            <w:pPr>
              <w:pStyle w:val="2"/>
              <w:jc w:val="both"/>
              <w:rPr>
                <w:rFonts w:asciiTheme="minorHAnsi" w:hAnsiTheme="minorHAnsi" w:cstheme="minorHAnsi"/>
                <w:b/>
                <w:bCs/>
                <w:sz w:val="22"/>
                <w:szCs w:val="22"/>
                <w:shd w:val="clear" w:color="auto" w:fill="FFFFFF"/>
                <w:lang w:val="en-US"/>
              </w:rPr>
            </w:pPr>
            <w:r>
              <w:rPr>
                <w:rFonts w:eastAsia="Times New Roman" w:asciiTheme="minorHAnsi" w:hAnsiTheme="minorHAnsi" w:cstheme="minorHAnsi"/>
                <w:b/>
                <w:bCs/>
                <w:color w:val="auto"/>
                <w:sz w:val="22"/>
                <w:szCs w:val="22"/>
                <w:shd w:val="clear" w:color="auto" w:fill="FFFFFF"/>
                <w:lang w:val="en-US" w:eastAsia="es-ES"/>
              </w:rPr>
              <w:t xml:space="preserve">4. nodaļa : </w:t>
            </w:r>
            <w:bookmarkEnd w:id="4"/>
            <w:r>
              <w:rPr>
                <w:rFonts w:eastAsia="Times New Roman" w:asciiTheme="minorHAnsi" w:hAnsiTheme="minorHAnsi" w:cstheme="minorHAnsi"/>
                <w:b/>
                <w:bCs/>
                <w:color w:val="auto"/>
                <w:sz w:val="22"/>
                <w:szCs w:val="22"/>
                <w:shd w:val="clear" w:color="auto" w:fill="FFFFFF"/>
                <w:lang w:val="en-US"/>
              </w:rPr>
              <w:t>EURES – ES sadarbības tīkls nodarbinātībai</w:t>
            </w:r>
          </w:p>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p>
          <w:p>
            <w:pPr>
              <w:pStyle w:val="3"/>
              <w:numPr>
                <w:ilvl w:val="0"/>
                <w:numId w:val="10"/>
              </w:numPr>
              <w:jc w:val="both"/>
              <w:rPr>
                <w:rFonts w:asciiTheme="minorHAnsi" w:hAnsiTheme="minorHAnsi" w:cstheme="minorHAnsi"/>
                <w:b/>
                <w:bCs/>
                <w:color w:val="auto"/>
                <w:sz w:val="22"/>
                <w:szCs w:val="22"/>
                <w:shd w:val="clear" w:color="auto" w:fill="FFFFFF"/>
                <w:lang w:val="en-US"/>
              </w:rPr>
            </w:pPr>
            <w:bookmarkStart w:id="5" w:name="_Toc136951779"/>
            <w:r>
              <w:rPr>
                <w:rFonts w:eastAsia="Times New Roman" w:asciiTheme="minorHAnsi" w:hAnsiTheme="minorHAnsi" w:cstheme="minorHAnsi"/>
                <w:b/>
                <w:bCs/>
                <w:color w:val="auto"/>
                <w:sz w:val="22"/>
                <w:szCs w:val="22"/>
                <w:shd w:val="clear" w:color="auto" w:fill="FFFFFF"/>
                <w:lang w:val="en-US" w:eastAsia="es-ES"/>
              </w:rPr>
              <w:t xml:space="preserve">4.1. sadaļa: </w:t>
            </w:r>
            <w:r>
              <w:rPr>
                <w:rFonts w:eastAsia="Times New Roman" w:asciiTheme="minorHAnsi" w:hAnsiTheme="minorHAnsi" w:cstheme="minorHAnsi"/>
                <w:b/>
                <w:bCs/>
                <w:color w:val="auto"/>
                <w:sz w:val="22"/>
                <w:szCs w:val="22"/>
                <w:shd w:val="clear" w:color="auto" w:fill="FFFFFF"/>
                <w:lang w:val="en-US"/>
              </w:rPr>
              <w:t>Darba ņēmēju brīvas pārvietošanās veicināšana</w:t>
            </w:r>
          </w:p>
          <w:bookmarkEnd w:id="5"/>
          <w:p>
            <w:pPr>
              <w:pStyle w:val="3"/>
              <w:ind w:left="720"/>
              <w:jc w:val="both"/>
              <w:outlineLvl w:val="2"/>
              <w:rPr>
                <w:rFonts w:eastAsia="Times New Roman" w:asciiTheme="minorHAnsi" w:hAnsiTheme="minorHAnsi" w:cstheme="minorHAnsi"/>
                <w:b/>
                <w:bCs/>
                <w:color w:val="auto"/>
                <w:sz w:val="22"/>
                <w:szCs w:val="22"/>
                <w:shd w:val="clear" w:color="auto" w:fill="FFFFFF"/>
                <w:lang w:val="en-US" w:eastAsia="es-ES"/>
              </w:rPr>
            </w:pP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val="en-GB" w:eastAsia="es-ES"/>
              </w:rPr>
            </w:pPr>
            <w:r>
              <w:rPr>
                <w:rFonts w:asciiTheme="minorHAnsi" w:hAnsiTheme="minorHAnsi" w:cstheme="minorHAnsi"/>
                <w:lang w:val="en-GB" w:eastAsia="es-ES"/>
              </w:rPr>
              <w:t>EURES palīdz darbiniekiem un darba meklētājiem visā Eiropā atrast sev ideālo darbu, bet darba devējiem – ideālos kandidātus. PIA sniedzēji var izmantot EURES portālu, lai atvieglotu pieprasījuma un piedāvājuma saskaņošanu un atvieglotu savu studentu pāreju uz darba tirgu. Konkrētāk, EURES pakalpojumi koncentrējas uz šādiem jautājumiem:</w:t>
            </w:r>
          </w:p>
          <w:p>
            <w:pPr>
              <w:widowControl/>
              <w:autoSpaceDE/>
              <w:autoSpaceDN/>
              <w:jc w:val="both"/>
              <w:rPr>
                <w:rFonts w:asciiTheme="minorHAnsi" w:hAnsiTheme="minorHAnsi" w:cstheme="minorHAnsi"/>
                <w:lang w:val="es-ES" w:eastAsia="es-ES"/>
              </w:rPr>
            </w:pP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Darba vakanču un CV saskaņošana EURES portālā</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Informācijas, konsultāciju un citi atbalsta pakalpojumi darbiniekiem un darba devējiem</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Piekļuve informācijai par dzīves un darba apstākļiem ES dalībvalstīs, piemēram, nodokļiem, pensijām, veselības apdrošināšanu un sociālo nodrošinājumu</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Īpaši atbalsta pakalpojumi pārrobežu darba ņēmējiem un darba devējiem pārrobežu reģionos</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Atbalsts konkrētām grupām saistībā ar EURES mērķtiecīgām mobilitātes shēmām</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Atbalsts dinamiskiem personāla atlases pasākumiem, izmantojot Eiropas (tiešsaistes) darba dienu platformu</w:t>
            </w:r>
          </w:p>
          <w:p>
            <w:pPr>
              <w:widowControl/>
              <w:numPr>
                <w:ilvl w:val="0"/>
                <w:numId w:val="10"/>
              </w:numPr>
              <w:autoSpaceDE/>
              <w:autoSpaceDN/>
              <w:jc w:val="both"/>
              <w:rPr>
                <w:rFonts w:asciiTheme="minorHAnsi" w:hAnsiTheme="minorHAnsi" w:cstheme="minorHAnsi"/>
                <w:lang w:eastAsia="es-ES"/>
              </w:rPr>
            </w:pPr>
            <w:r>
              <w:rPr>
                <w:rFonts w:asciiTheme="minorHAnsi" w:hAnsiTheme="minorHAnsi" w:cstheme="minorHAnsi"/>
                <w:lang w:val="en-GB" w:eastAsia="es-ES"/>
              </w:rPr>
              <w:t>Informācija par palīdzību pēc darbā pieņemšanas un piekļuve tai, piemēram, valodu apmācība un atbalsts saistībā ar integrāciju galamērķa valstī</w:t>
            </w:r>
          </w:p>
          <w:p>
            <w:pPr>
              <w:pStyle w:val="16"/>
              <w:widowControl/>
              <w:autoSpaceDE/>
              <w:autoSpaceDN/>
              <w:spacing w:after="160" w:line="259" w:lineRule="auto"/>
              <w:ind w:left="720"/>
              <w:contextualSpacing/>
              <w:jc w:val="both"/>
              <w:rPr>
                <w:rFonts w:asciiTheme="minorHAnsi" w:hAnsiTheme="minorHAnsi" w:cstheme="minorHAnsi"/>
                <w:lang w:eastAsia="es-ES"/>
              </w:rPr>
            </w:pPr>
          </w:p>
          <w:p>
            <w:pPr>
              <w:pStyle w:val="16"/>
              <w:widowControl/>
              <w:autoSpaceDE/>
              <w:autoSpaceDN/>
              <w:spacing w:after="160" w:line="259" w:lineRule="auto"/>
              <w:ind w:left="720"/>
              <w:contextualSpacing/>
              <w:jc w:val="both"/>
              <w:rPr>
                <w:rFonts w:asciiTheme="minorHAnsi" w:hAnsiTheme="minorHAnsi" w:cstheme="minorHAnsi"/>
                <w:lang w:eastAsia="es-ES"/>
              </w:rPr>
            </w:pPr>
            <w:r>
              <w:rPr>
                <w:rFonts w:asciiTheme="minorHAnsi" w:hAnsiTheme="minorHAnsi" w:cstheme="minorHAnsi"/>
                <w:lang w:eastAsia="es-ES"/>
              </w:rPr>
              <w:t xml:space="preserve">Avots: </w:t>
            </w:r>
            <w:r>
              <w:fldChar w:fldCharType="begin"/>
            </w:r>
            <w:r>
              <w:instrText xml:space="preserve"> HYPERLINK "https://eures.ec.europa.eu/eures-services_en" </w:instrText>
            </w:r>
            <w:r>
              <w:fldChar w:fldCharType="separate"/>
            </w:r>
            <w:r>
              <w:rPr>
                <w:rStyle w:val="10"/>
                <w:rFonts w:asciiTheme="minorHAnsi" w:hAnsiTheme="minorHAnsi" w:cstheme="minorHAnsi"/>
                <w:lang w:eastAsia="es-ES"/>
              </w:rPr>
              <w:t>EURES</w:t>
            </w:r>
            <w:r>
              <w:rPr>
                <w:rStyle w:val="10"/>
                <w:rFonts w:asciiTheme="minorHAnsi" w:hAnsiTheme="minorHAnsi" w:cstheme="minorHAnsi"/>
                <w:lang w:eastAsia="es-ES"/>
              </w:rPr>
              <w:fldChar w:fldCharType="end"/>
            </w:r>
            <w:r>
              <w:rPr>
                <w:rFonts w:asciiTheme="minorHAnsi" w:hAnsiTheme="minorHAnsi" w:cstheme="minorHAnsi"/>
                <w:lang w:eastAsia="es-ES"/>
              </w:rPr>
              <w:t xml:space="preserve"> </w:t>
            </w:r>
          </w:p>
          <w:p>
            <w:pPr>
              <w:pStyle w:val="16"/>
              <w:widowControl/>
              <w:autoSpaceDE/>
              <w:autoSpaceDN/>
              <w:spacing w:after="160" w:line="259" w:lineRule="auto"/>
              <w:ind w:left="720"/>
              <w:contextualSpacing/>
              <w:jc w:val="both"/>
              <w:rPr>
                <w:rFonts w:asciiTheme="minorHAnsi" w:hAnsiTheme="minorHAnsi" w:cstheme="minorHAnsi"/>
                <w:lang w:eastAsia="es-ES"/>
              </w:rPr>
            </w:pPr>
          </w:p>
          <w:p>
            <w:pPr>
              <w:pStyle w:val="2"/>
              <w:jc w:val="both"/>
              <w:rPr>
                <w:rFonts w:asciiTheme="minorHAnsi" w:hAnsiTheme="minorHAnsi" w:cstheme="minorHAnsi"/>
                <w:b/>
                <w:bCs/>
                <w:color w:val="auto"/>
                <w:sz w:val="22"/>
                <w:szCs w:val="22"/>
                <w:shd w:val="clear" w:color="auto" w:fill="FFFFFF"/>
                <w:lang w:val="en-US"/>
              </w:rPr>
            </w:pPr>
            <w:r>
              <w:rPr>
                <w:rFonts w:eastAsia="Times New Roman" w:asciiTheme="minorHAnsi" w:hAnsiTheme="minorHAnsi" w:cstheme="minorHAnsi"/>
                <w:b/>
                <w:bCs/>
                <w:color w:val="auto"/>
                <w:sz w:val="22"/>
                <w:szCs w:val="22"/>
                <w:shd w:val="clear" w:color="auto" w:fill="FFFFFF"/>
                <w:lang w:val="en-US" w:eastAsia="es-ES"/>
              </w:rPr>
              <w:t xml:space="preserve">5. nodaļa: </w:t>
            </w:r>
            <w:r>
              <w:rPr>
                <w:rFonts w:eastAsia="Times New Roman" w:asciiTheme="minorHAnsi" w:hAnsiTheme="minorHAnsi" w:cstheme="minorHAnsi"/>
                <w:b/>
                <w:bCs/>
                <w:color w:val="auto"/>
                <w:sz w:val="22"/>
                <w:szCs w:val="22"/>
                <w:shd w:val="clear" w:color="auto" w:fill="FFFFFF"/>
                <w:lang w:val="en-US"/>
              </w:rPr>
              <w:t>EURES – EUROPASS – mācības un darbs ES</w:t>
            </w:r>
          </w:p>
          <w:p>
            <w:pPr>
              <w:pStyle w:val="2"/>
              <w:jc w:val="both"/>
              <w:rPr>
                <w:rFonts w:asciiTheme="minorHAnsi" w:hAnsiTheme="minorHAnsi" w:cstheme="minorHAnsi"/>
                <w:b/>
                <w:bCs/>
                <w:sz w:val="22"/>
                <w:szCs w:val="22"/>
                <w:shd w:val="clear" w:color="auto" w:fill="FFFFFF"/>
                <w:lang w:val="en-US"/>
              </w:rPr>
            </w:pPr>
          </w:p>
          <w:p>
            <w:pPr>
              <w:pStyle w:val="3"/>
              <w:numPr>
                <w:ilvl w:val="0"/>
                <w:numId w:val="10"/>
              </w:numPr>
              <w:jc w:val="both"/>
              <w:rPr>
                <w:rFonts w:asciiTheme="minorHAnsi" w:hAnsiTheme="minorHAnsi" w:cstheme="minorHAnsi"/>
                <w:b/>
                <w:bCs/>
                <w:color w:val="auto"/>
                <w:sz w:val="22"/>
                <w:szCs w:val="22"/>
                <w:shd w:val="clear" w:color="auto" w:fill="FFFFFF"/>
                <w:lang w:val="en-US"/>
              </w:rPr>
            </w:pPr>
            <w:r>
              <w:rPr>
                <w:rFonts w:eastAsia="Times New Roman" w:asciiTheme="minorHAnsi" w:hAnsiTheme="minorHAnsi" w:cstheme="minorHAnsi"/>
                <w:b/>
                <w:bCs/>
                <w:color w:val="auto"/>
                <w:sz w:val="22"/>
                <w:szCs w:val="22"/>
                <w:shd w:val="clear" w:color="auto" w:fill="FFFFFF"/>
                <w:lang w:val="en-US" w:eastAsia="es-ES"/>
              </w:rPr>
              <w:t xml:space="preserve">5.1. sadaļa: </w:t>
            </w:r>
            <w:r>
              <w:rPr>
                <w:rFonts w:eastAsia="Times New Roman" w:asciiTheme="minorHAnsi" w:hAnsiTheme="minorHAnsi" w:cstheme="minorHAnsi"/>
                <w:b/>
                <w:bCs/>
                <w:color w:val="auto"/>
                <w:sz w:val="22"/>
                <w:szCs w:val="22"/>
                <w:shd w:val="clear" w:color="auto" w:fill="FFFFFF"/>
                <w:lang w:val="en-US"/>
              </w:rPr>
              <w:t>EUROPASS izmantošana PIA pakalpojumu sniedzējiem</w:t>
            </w:r>
          </w:p>
          <w:p>
            <w:pPr>
              <w:pStyle w:val="3"/>
              <w:ind w:left="720"/>
              <w:jc w:val="both"/>
              <w:rPr>
                <w:rFonts w:asciiTheme="minorHAnsi" w:hAnsiTheme="minorHAnsi" w:cstheme="minorHAnsi"/>
                <w:b/>
                <w:bCs/>
                <w:color w:val="auto"/>
                <w:sz w:val="22"/>
                <w:szCs w:val="22"/>
                <w:shd w:val="clear" w:color="auto" w:fill="FFFFFF"/>
                <w:lang w:val="en-US"/>
              </w:rPr>
            </w:pP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Kā mēs redzējām EURES gadījumā, EUROPASS ir arī vēl viens resurss, ko ES darījusi pieejamu, lai atvieglotu darba ņēmēju un darba meklētāju pāreju un pārvietošanos darba tirgū.</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EUROPASS nodrošina plašu pakalpojumu un resursu kopu, ko cilvēki var izpētīt, lai sagatavotos nākamajam lielajam solim dzīvē.</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Tādējādi pašiem PIA nodrošinātājiem ir jābūt ļoti pieredzējušiem un jāpārzina šādu resursu apjoms un darbības joma, lai labākajā gadījumā nodotu savas zināšanas saviem studentiem.</w:t>
            </w:r>
          </w:p>
          <w:p>
            <w:pPr>
              <w:widowControl/>
              <w:autoSpaceDE/>
              <w:autoSpaceDN/>
              <w:jc w:val="both"/>
              <w:rPr>
                <w:rFonts w:asciiTheme="minorHAnsi" w:hAnsiTheme="minorHAnsi" w:cstheme="minorHAnsi"/>
                <w:lang w:eastAsia="es-ES"/>
              </w:rPr>
            </w:pPr>
          </w:p>
          <w:p>
            <w:pPr>
              <w:pStyle w:val="2"/>
              <w:jc w:val="both"/>
              <w:rPr>
                <w:rFonts w:asciiTheme="minorHAnsi" w:hAnsiTheme="minorHAnsi" w:cstheme="minorHAnsi"/>
                <w:b/>
                <w:bCs/>
                <w:color w:val="auto"/>
                <w:sz w:val="22"/>
                <w:szCs w:val="22"/>
                <w:shd w:val="clear" w:color="auto" w:fill="FFFFFF"/>
                <w:lang w:val="en-US"/>
              </w:rPr>
            </w:pPr>
            <w:r>
              <w:rPr>
                <w:rFonts w:eastAsia="Times New Roman" w:asciiTheme="minorHAnsi" w:hAnsiTheme="minorHAnsi" w:cstheme="minorHAnsi"/>
                <w:b/>
                <w:bCs/>
                <w:color w:val="auto"/>
                <w:sz w:val="22"/>
                <w:szCs w:val="22"/>
                <w:shd w:val="clear" w:color="auto" w:fill="FFFFFF"/>
                <w:lang w:val="en-US" w:eastAsia="es-ES"/>
              </w:rPr>
              <w:t xml:space="preserve">6. nodaļa: </w:t>
            </w:r>
            <w:r>
              <w:rPr>
                <w:rFonts w:eastAsia="Times New Roman" w:asciiTheme="minorHAnsi" w:hAnsiTheme="minorHAnsi" w:cstheme="minorHAnsi"/>
                <w:b/>
                <w:bCs/>
                <w:color w:val="auto"/>
                <w:sz w:val="22"/>
                <w:szCs w:val="22"/>
                <w:shd w:val="clear" w:color="auto" w:fill="FFFFFF"/>
                <w:lang w:val="en-US"/>
              </w:rPr>
              <w:t>ES prasmes, kompetences, kvalifikācija un profesijas</w:t>
            </w:r>
          </w:p>
          <w:p>
            <w:pPr>
              <w:pStyle w:val="2"/>
              <w:jc w:val="both"/>
              <w:rPr>
                <w:rFonts w:asciiTheme="minorHAnsi" w:hAnsiTheme="minorHAnsi" w:cstheme="minorHAnsi"/>
                <w:b/>
                <w:bCs/>
                <w:sz w:val="22"/>
                <w:szCs w:val="22"/>
                <w:shd w:val="clear" w:color="auto" w:fill="FFFFFF"/>
                <w:lang w:val="en-US"/>
              </w:rPr>
            </w:pPr>
          </w:p>
          <w:p>
            <w:pPr>
              <w:pStyle w:val="3"/>
              <w:numPr>
                <w:ilvl w:val="0"/>
                <w:numId w:val="10"/>
              </w:numPr>
              <w:jc w:val="both"/>
              <w:rPr>
                <w:rFonts w:asciiTheme="minorHAnsi" w:hAnsiTheme="minorHAnsi" w:cstheme="minorHAnsi"/>
                <w:b/>
                <w:bCs/>
                <w:color w:val="auto"/>
                <w:sz w:val="22"/>
                <w:szCs w:val="22"/>
                <w:shd w:val="clear" w:color="auto" w:fill="FFFFFF"/>
              </w:rPr>
            </w:pPr>
            <w:r>
              <w:rPr>
                <w:rFonts w:eastAsia="Times New Roman" w:asciiTheme="minorHAnsi" w:hAnsiTheme="minorHAnsi" w:cstheme="minorHAnsi"/>
                <w:b/>
                <w:bCs/>
                <w:color w:val="auto"/>
                <w:sz w:val="22"/>
                <w:szCs w:val="22"/>
                <w:shd w:val="clear" w:color="auto" w:fill="FFFFFF"/>
              </w:rPr>
              <w:t xml:space="preserve">. </w:t>
            </w:r>
            <w:r>
              <w:rPr>
                <w:rFonts w:eastAsia="Times New Roman" w:asciiTheme="minorHAnsi" w:hAnsiTheme="minorHAnsi" w:cstheme="minorHAnsi"/>
                <w:b/>
                <w:bCs/>
                <w:color w:val="auto"/>
                <w:sz w:val="22"/>
                <w:szCs w:val="22"/>
                <w:shd w:val="clear" w:color="auto" w:fill="FFFFFF"/>
                <w:lang w:val="en-US" w:eastAsia="es-ES"/>
              </w:rPr>
              <w:t xml:space="preserve">sadaļa: </w:t>
            </w:r>
            <w:r>
              <w:rPr>
                <w:rFonts w:eastAsia="Times New Roman" w:asciiTheme="minorHAnsi" w:hAnsiTheme="minorHAnsi" w:cstheme="minorHAnsi"/>
                <w:b/>
                <w:bCs/>
                <w:color w:val="auto"/>
                <w:sz w:val="22"/>
                <w:szCs w:val="22"/>
                <w:shd w:val="clear" w:color="auto" w:fill="FFFFFF"/>
              </w:rPr>
              <w:t>ESKO sistēma</w:t>
            </w:r>
          </w:p>
          <w:p>
            <w:pPr>
              <w:pStyle w:val="3"/>
              <w:ind w:left="720"/>
              <w:jc w:val="both"/>
              <w:rPr>
                <w:rFonts w:asciiTheme="minorHAnsi" w:hAnsiTheme="minorHAnsi" w:cstheme="minorHAnsi"/>
                <w:b/>
                <w:bCs/>
                <w:color w:val="auto"/>
                <w:sz w:val="22"/>
                <w:szCs w:val="22"/>
                <w:shd w:val="clear" w:color="auto" w:fill="FFFFFF"/>
                <w:lang w:val="en-US"/>
              </w:rPr>
            </w:pP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ESCO ir oficiālā ES prasmju, kompetenču un profesiju klasifikācijas sistēma. Praktiski ESKO tiek izmantots kā oficiāls glosārijs, lai detalizēti aprakstītu visas iespējamās profesionāļu profesijas un ar tām saistītās prasmes un kompetences, kuras darbiniekiem vajadzētu aizturēt.</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Šīs standartizācijas mērķis ir atvieglot darba ņēmēju un darba meklētāju mobilitāti visā ES, vienlaikus atbalstot daudz labāku un integrētāku starptautisko darba tirgu.</w:t>
            </w:r>
          </w:p>
          <w:p>
            <w:pPr>
              <w:widowControl/>
              <w:autoSpaceDE/>
              <w:autoSpaceDN/>
              <w:jc w:val="both"/>
              <w:rPr>
                <w:rFonts w:asciiTheme="minorHAnsi" w:hAnsiTheme="minorHAnsi" w:cstheme="minorHAnsi"/>
                <w:lang w:eastAsia="es-ES"/>
              </w:rPr>
            </w:pPr>
            <w:r>
              <w:rPr>
                <w:rFonts w:asciiTheme="minorHAnsi" w:hAnsiTheme="minorHAnsi" w:cstheme="minorHAnsi"/>
                <w:lang w:val="en-GB" w:eastAsia="es-ES"/>
              </w:rPr>
              <w:t>PIA nodrošinātājiem ESKO izmantošana ir stratēģiski svarīga, jo tā palīdz labāk noteikt tādus mācību rezultātus, kādi ir nepieciešami darbiniekiem, lai piekļūtu šai darba iespējai.</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b/>
                <w:bCs/>
                <w:lang w:eastAsia="es-ES"/>
              </w:rPr>
            </w:pPr>
            <w:r>
              <w:rPr>
                <w:rFonts w:asciiTheme="minorHAnsi" w:hAnsiTheme="minorHAnsi" w:cstheme="minorHAnsi"/>
                <w:b/>
                <w:bCs/>
                <w:lang w:eastAsia="es-ES"/>
              </w:rPr>
              <w:t>Kāpēc ESKO ir vajadzīgs un kāds ir tā lietojums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ESKO klasifikācijas var palīdzēt cilvēkiem precīzi saprast:</w:t>
            </w:r>
          </w:p>
          <w:p>
            <w:pPr>
              <w:widowControl/>
              <w:numPr>
                <w:ilvl w:val="0"/>
                <w:numId w:val="11"/>
              </w:numPr>
              <w:autoSpaceDE/>
              <w:autoSpaceDN/>
              <w:jc w:val="both"/>
              <w:rPr>
                <w:rFonts w:asciiTheme="minorHAnsi" w:hAnsiTheme="minorHAnsi" w:cstheme="minorHAnsi"/>
                <w:lang w:eastAsia="es-ES"/>
              </w:rPr>
            </w:pPr>
            <w:r>
              <w:rPr>
                <w:rFonts w:asciiTheme="minorHAnsi" w:hAnsiTheme="minorHAnsi" w:cstheme="minorHAnsi"/>
                <w:lang w:val="en-GB" w:eastAsia="es-ES"/>
              </w:rPr>
              <w:t>…kādas zināšanas un prasmes parasti ir nepieciešamas, strādājot konkrētā profesijā;</w:t>
            </w:r>
          </w:p>
          <w:p>
            <w:pPr>
              <w:widowControl/>
              <w:numPr>
                <w:ilvl w:val="0"/>
                <w:numId w:val="11"/>
              </w:numPr>
              <w:autoSpaceDE/>
              <w:autoSpaceDN/>
              <w:jc w:val="both"/>
              <w:rPr>
                <w:rFonts w:asciiTheme="minorHAnsi" w:hAnsiTheme="minorHAnsi" w:cstheme="minorHAnsi"/>
                <w:lang w:eastAsia="es-ES"/>
              </w:rPr>
            </w:pPr>
            <w:r>
              <w:rPr>
                <w:rFonts w:asciiTheme="minorHAnsi" w:hAnsiTheme="minorHAnsi" w:cstheme="minorHAnsi"/>
                <w:lang w:val="en-GB" w:eastAsia="es-ES"/>
              </w:rPr>
              <w:t>…kādas zināšanas, prasmes un kompetences tiek iegūtas konkrētas kvalifikācijas rezultātā;</w:t>
            </w:r>
          </w:p>
          <w:p>
            <w:pPr>
              <w:widowControl/>
              <w:numPr>
                <w:ilvl w:val="0"/>
                <w:numId w:val="11"/>
              </w:numPr>
              <w:autoSpaceDE/>
              <w:autoSpaceDN/>
              <w:jc w:val="both"/>
              <w:rPr>
                <w:rFonts w:asciiTheme="minorHAnsi" w:hAnsiTheme="minorHAnsi" w:cstheme="minorHAnsi"/>
                <w:lang w:eastAsia="es-ES"/>
              </w:rPr>
            </w:pPr>
            <w:r>
              <w:rPr>
                <w:rFonts w:asciiTheme="minorHAnsi" w:hAnsiTheme="minorHAnsi" w:cstheme="minorHAnsi"/>
                <w:lang w:val="en-GB" w:eastAsia="es-ES"/>
              </w:rPr>
              <w:t>…kādu kvalifikāciju pieprasa vai bieži pieprasa darba devēji no tiem, kas meklē darbu noteiktā profesijā.</w:t>
            </w:r>
          </w:p>
          <w:p>
            <w:pPr>
              <w:widowControl/>
              <w:autoSpaceDE/>
              <w:autoSpaceDN/>
              <w:ind w:left="720"/>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u w:val="single"/>
                <w:lang w:val="en-GB" w:eastAsia="es-ES"/>
              </w:rPr>
              <w:t>ESKO palīdz radīt vairākas iespējas:</w:t>
            </w:r>
          </w:p>
          <w:p>
            <w:pPr>
              <w:widowControl/>
              <w:numPr>
                <w:ilvl w:val="0"/>
                <w:numId w:val="12"/>
              </w:numPr>
              <w:autoSpaceDE/>
              <w:autoSpaceDN/>
              <w:jc w:val="both"/>
              <w:rPr>
                <w:rFonts w:asciiTheme="minorHAnsi" w:hAnsiTheme="minorHAnsi" w:cstheme="minorHAnsi"/>
                <w:lang w:eastAsia="es-ES"/>
              </w:rPr>
            </w:pPr>
            <w:r>
              <w:rPr>
                <w:rFonts w:asciiTheme="minorHAnsi" w:hAnsiTheme="minorHAnsi" w:cstheme="minorHAnsi"/>
                <w:lang w:val="en-GB" w:eastAsia="es-ES"/>
              </w:rPr>
              <w:t>…saista cilvēkus un darbavietas, nodrošinot tos atslēgas vārdus, kas palīdz CV izcelties</w:t>
            </w:r>
          </w:p>
          <w:p>
            <w:pPr>
              <w:widowControl/>
              <w:numPr>
                <w:ilvl w:val="0"/>
                <w:numId w:val="12"/>
              </w:numPr>
              <w:autoSpaceDE/>
              <w:autoSpaceDN/>
              <w:jc w:val="both"/>
              <w:rPr>
                <w:rFonts w:asciiTheme="minorHAnsi" w:hAnsiTheme="minorHAnsi" w:cstheme="minorHAnsi"/>
                <w:lang w:eastAsia="es-ES"/>
              </w:rPr>
            </w:pPr>
            <w:r>
              <w:rPr>
                <w:rFonts w:asciiTheme="minorHAnsi" w:hAnsiTheme="minorHAnsi" w:cstheme="minorHAnsi"/>
                <w:lang w:val="en-GB" w:eastAsia="es-ES"/>
              </w:rPr>
              <w:t>…saista nodarbinātību ar izglītību, palīdzot pedagogiem gūt ieskatu par vispieprasītākajām prasmēm un kompetencēm</w:t>
            </w:r>
          </w:p>
          <w:p>
            <w:pPr>
              <w:widowControl/>
              <w:numPr>
                <w:ilvl w:val="0"/>
                <w:numId w:val="12"/>
              </w:numPr>
              <w:autoSpaceDE/>
              <w:autoSpaceDN/>
              <w:jc w:val="both"/>
              <w:rPr>
                <w:rFonts w:asciiTheme="minorHAnsi" w:hAnsiTheme="minorHAnsi" w:cstheme="minorHAnsi"/>
                <w:lang w:eastAsia="es-ES"/>
              </w:rPr>
            </w:pPr>
            <w:r>
              <w:rPr>
                <w:rFonts w:asciiTheme="minorHAnsi" w:hAnsiTheme="minorHAnsi" w:cstheme="minorHAnsi"/>
                <w:lang w:val="en-GB" w:eastAsia="es-ES"/>
              </w:rPr>
              <w:t>…savieno starpvalstu darba tirgu un palielina darba meklētāju un darba ņēmēju mobilitātes iespējas</w:t>
            </w:r>
          </w:p>
          <w:p>
            <w:pPr>
              <w:widowControl/>
              <w:autoSpaceDE/>
              <w:autoSpaceDN/>
              <w:ind w:left="720"/>
              <w:jc w:val="both"/>
              <w:rPr>
                <w:rFonts w:asciiTheme="minorHAnsi" w:hAnsiTheme="minorHAnsi" w:cstheme="minorHAnsi"/>
                <w:lang w:eastAsia="es-ES"/>
              </w:rPr>
            </w:pPr>
          </w:p>
          <w:p>
            <w:pPr>
              <w:widowControl/>
              <w:autoSpaceDE/>
              <w:autoSpaceDN/>
              <w:jc w:val="both"/>
              <w:rPr>
                <w:rFonts w:asciiTheme="minorHAnsi" w:hAnsiTheme="minorHAnsi" w:cstheme="minorHAnsi"/>
                <w:lang w:val="es-ES" w:eastAsia="es-ES"/>
              </w:rPr>
            </w:pPr>
            <w:r>
              <w:rPr>
                <w:rFonts w:asciiTheme="minorHAnsi" w:hAnsiTheme="minorHAnsi" w:cstheme="minorHAnsi"/>
                <w:lang w:eastAsia="es-ES"/>
              </w:rPr>
              <w:t xml:space="preserve">Avots: </w:t>
            </w:r>
            <w:r>
              <w:fldChar w:fldCharType="begin"/>
            </w:r>
            <w:r>
              <w:instrText xml:space="preserve"> HYPERLINK "https://esco.ec.europa.eu/en/about-esco/what-esco" </w:instrText>
            </w:r>
            <w:r>
              <w:fldChar w:fldCharType="separate"/>
            </w:r>
            <w:r>
              <w:rPr>
                <w:rStyle w:val="10"/>
                <w:rFonts w:asciiTheme="minorHAnsi" w:hAnsiTheme="minorHAnsi" w:cstheme="minorHAnsi"/>
                <w:lang w:eastAsia="es-ES"/>
              </w:rPr>
              <w:t>ESCO</w:t>
            </w:r>
            <w:r>
              <w:rPr>
                <w:rStyle w:val="10"/>
                <w:rFonts w:asciiTheme="minorHAnsi" w:hAnsiTheme="minorHAnsi" w:cstheme="minorHAnsi"/>
                <w:lang w:eastAsia="es-ES"/>
              </w:rPr>
              <w:fldChar w:fldCharType="end"/>
            </w:r>
            <w:r>
              <w:rPr>
                <w:rFonts w:asciiTheme="minorHAnsi" w:hAnsiTheme="minorHAnsi" w:cstheme="minorHAnsi"/>
                <w:lang w:eastAsia="es-ES"/>
              </w:rPr>
              <w:t xml:space="preserve"> </w:t>
            </w:r>
          </w:p>
          <w:p>
            <w:pPr>
              <w:widowControl/>
              <w:autoSpaceDE/>
              <w:autoSpaceDN/>
              <w:jc w:val="both"/>
              <w:rPr>
                <w:rFonts w:asciiTheme="minorHAnsi" w:hAnsiTheme="minorHAnsi" w:cstheme="minorHAnsi"/>
                <w:lang w:eastAsia="es-ES"/>
              </w:rPr>
            </w:pPr>
          </w:p>
          <w:p>
            <w:pPr>
              <w:pStyle w:val="2"/>
              <w:jc w:val="both"/>
              <w:rPr>
                <w:rFonts w:asciiTheme="minorHAnsi" w:hAnsiTheme="minorHAnsi" w:cstheme="minorHAnsi"/>
                <w:b/>
                <w:bCs/>
                <w:color w:val="auto"/>
                <w:sz w:val="22"/>
                <w:szCs w:val="22"/>
                <w:shd w:val="clear" w:color="auto" w:fill="FFFFFF"/>
              </w:rPr>
            </w:pPr>
            <w:r>
              <w:rPr>
                <w:rFonts w:eastAsia="Times New Roman" w:asciiTheme="minorHAnsi" w:hAnsiTheme="minorHAnsi" w:cstheme="minorHAnsi"/>
                <w:b/>
                <w:bCs/>
                <w:color w:val="auto"/>
                <w:sz w:val="22"/>
                <w:szCs w:val="22"/>
                <w:shd w:val="clear" w:color="auto" w:fill="FFFFFF"/>
                <w:lang w:val="en-US" w:eastAsia="es-ES"/>
              </w:rPr>
              <w:t xml:space="preserve">7. vienība: </w:t>
            </w:r>
            <w:r>
              <w:rPr>
                <w:rFonts w:eastAsia="Times New Roman" w:asciiTheme="minorHAnsi" w:hAnsiTheme="minorHAnsi" w:cstheme="minorHAnsi"/>
                <w:b/>
                <w:bCs/>
                <w:color w:val="auto"/>
                <w:sz w:val="22"/>
                <w:szCs w:val="22"/>
                <w:shd w:val="clear" w:color="auto" w:fill="FFFFFF"/>
              </w:rPr>
              <w:t xml:space="preserve">mikroakreditācijas dati </w:t>
            </w:r>
          </w:p>
          <w:p>
            <w:pPr>
              <w:pStyle w:val="2"/>
              <w:jc w:val="both"/>
              <w:rPr>
                <w:rFonts w:asciiTheme="minorHAnsi" w:hAnsiTheme="minorHAnsi" w:cstheme="minorHAnsi"/>
                <w:b/>
                <w:bCs/>
                <w:sz w:val="22"/>
                <w:szCs w:val="22"/>
                <w:shd w:val="clear" w:color="auto" w:fill="FFFFFF"/>
                <w:lang w:val="en-US"/>
              </w:rPr>
            </w:pPr>
          </w:p>
          <w:p>
            <w:pPr>
              <w:pStyle w:val="3"/>
              <w:numPr>
                <w:ilvl w:val="0"/>
                <w:numId w:val="10"/>
              </w:numPr>
              <w:jc w:val="both"/>
              <w:rPr>
                <w:rFonts w:asciiTheme="minorHAnsi" w:hAnsiTheme="minorHAnsi" w:cstheme="minorHAnsi"/>
                <w:b/>
                <w:bCs/>
                <w:color w:val="auto"/>
                <w:sz w:val="22"/>
                <w:szCs w:val="22"/>
                <w:shd w:val="clear" w:color="auto" w:fill="FFFFFF"/>
                <w:lang w:val="en-US"/>
              </w:rPr>
            </w:pPr>
            <w:r>
              <w:rPr>
                <w:rFonts w:eastAsia="Times New Roman" w:asciiTheme="minorHAnsi" w:hAnsiTheme="minorHAnsi" w:cstheme="minorHAnsi"/>
                <w:b/>
                <w:bCs/>
                <w:color w:val="auto"/>
                <w:sz w:val="22"/>
                <w:szCs w:val="22"/>
                <w:shd w:val="clear" w:color="auto" w:fill="FFFFFF"/>
                <w:lang w:val="en-US" w:eastAsia="es-ES"/>
              </w:rPr>
              <w:t xml:space="preserve">7.1. sadaļa: </w:t>
            </w:r>
            <w:r>
              <w:rPr>
                <w:rFonts w:eastAsia="Times New Roman" w:asciiTheme="minorHAnsi" w:hAnsiTheme="minorHAnsi" w:cstheme="minorHAnsi"/>
                <w:b/>
                <w:bCs/>
                <w:color w:val="auto"/>
                <w:sz w:val="22"/>
                <w:szCs w:val="22"/>
                <w:shd w:val="clear" w:color="auto" w:fill="FFFFFF"/>
                <w:lang w:val="en-US"/>
              </w:rPr>
              <w:t>Izglītības un apmācības ekosistēmas jaunā “lielā lieta”.</w:t>
            </w:r>
          </w:p>
          <w:p>
            <w:pPr>
              <w:widowControl/>
              <w:autoSpaceDE/>
              <w:autoSpaceDN/>
              <w:jc w:val="both"/>
              <w:rPr>
                <w:rFonts w:asciiTheme="minorHAnsi" w:hAnsiTheme="minorHAnsi" w:cstheme="minorHAnsi"/>
                <w:lang w:eastAsia="es-ES"/>
              </w:rPr>
            </w:pPr>
          </w:p>
          <w:p>
            <w:pPr>
              <w:widowControl/>
              <w:autoSpaceDE/>
              <w:autoSpaceDN/>
              <w:rPr>
                <w:rFonts w:asciiTheme="minorHAnsi" w:hAnsiTheme="minorHAnsi" w:cstheme="minorHAnsi"/>
                <w:lang w:val="en-GB" w:eastAsia="en-GB"/>
              </w:rPr>
            </w:pPr>
            <w:r>
              <w:rPr>
                <w:rFonts w:asciiTheme="minorHAnsi" w:hAnsiTheme="minorHAnsi" w:cstheme="minorHAnsi"/>
                <w:lang w:val="en-GB" w:eastAsia="en-GB"/>
              </w:rPr>
              <w:t xml:space="preserve">Kopš jaunās desmitgades sākuma ES ir īpaši paudusi jaunu </w:t>
            </w:r>
            <w:r>
              <w:fldChar w:fldCharType="begin"/>
            </w:r>
            <w:r>
              <w:instrText xml:space="preserve"> HYPERLINK "https://education.ec.europa.eu/sites/default/files/document-library-docs/european-approach-micro-credentials-higher-education-consultation-group-output-final-report.pdf" </w:instrText>
            </w:r>
            <w:r>
              <w:fldChar w:fldCharType="separate"/>
            </w:r>
            <w:r>
              <w:rPr>
                <w:rStyle w:val="10"/>
                <w:rFonts w:asciiTheme="minorHAnsi" w:hAnsiTheme="minorHAnsi" w:cstheme="minorHAnsi"/>
                <w:lang w:val="en-GB" w:eastAsia="en-GB"/>
              </w:rPr>
              <w:t xml:space="preserve">pieeju </w:t>
            </w:r>
            <w:r>
              <w:rPr>
                <w:rStyle w:val="10"/>
                <w:rFonts w:asciiTheme="minorHAnsi" w:hAnsiTheme="minorHAnsi" w:cstheme="minorHAnsi"/>
                <w:lang w:val="en-GB" w:eastAsia="en-GB"/>
              </w:rPr>
              <w:fldChar w:fldCharType="end"/>
            </w:r>
            <w:r>
              <w:rPr>
                <w:rFonts w:asciiTheme="minorHAnsi" w:hAnsiTheme="minorHAnsi" w:cstheme="minorHAnsi"/>
                <w:lang w:val="en-GB" w:eastAsia="en-GB"/>
              </w:rPr>
              <w:t>izglītībai un apmācībai, ko atbalsta mikrokredītu ieviešana un izmantošana.</w:t>
            </w:r>
          </w:p>
          <w:p>
            <w:pPr>
              <w:widowControl/>
              <w:autoSpaceDE/>
              <w:autoSpaceDN/>
              <w:rPr>
                <w:rFonts w:asciiTheme="minorHAnsi" w:hAnsiTheme="minorHAnsi" w:cstheme="minorHAnsi"/>
                <w:lang w:eastAsia="en-GB"/>
              </w:rPr>
            </w:pPr>
          </w:p>
          <w:p>
            <w:pPr>
              <w:widowControl/>
              <w:autoSpaceDE/>
              <w:autoSpaceDN/>
              <w:rPr>
                <w:rFonts w:asciiTheme="minorHAnsi" w:hAnsiTheme="minorHAnsi" w:cstheme="minorHAnsi"/>
                <w:lang w:val="en-GB" w:eastAsia="en-GB"/>
              </w:rPr>
            </w:pPr>
            <w:r>
              <w:rPr>
                <w:rFonts w:asciiTheme="minorHAnsi" w:hAnsiTheme="minorHAnsi" w:cstheme="minorHAnsi"/>
                <w:lang w:val="en-GB" w:eastAsia="en-GB"/>
              </w:rPr>
              <w:t>Atšķirībā no tradicionālajām apmācību programmām (piem., diplomi un grādi utt.), uz mikrokredīcijām balstītas apmācības un izglītības iniciatīvas darbojas ļoti specifiskā mācību jomā, un ar to saistītos mācību rezultātus var sasniegt saprātīgi saīsinātā laika periodā.</w:t>
            </w:r>
          </w:p>
          <w:p>
            <w:pPr>
              <w:widowControl/>
              <w:autoSpaceDE/>
              <w:autoSpaceDN/>
              <w:rPr>
                <w:rFonts w:asciiTheme="minorHAnsi" w:hAnsiTheme="minorHAnsi" w:cstheme="minorHAnsi"/>
                <w:lang w:eastAsia="en-GB"/>
              </w:rPr>
            </w:pPr>
            <w:r>
              <w:rPr>
                <w:rFonts w:asciiTheme="minorHAnsi" w:hAnsiTheme="minorHAnsi" w:cstheme="minorHAnsi"/>
                <w:lang w:val="en-GB" w:eastAsia="en-GB"/>
              </w:rPr>
              <w:t xml:space="preserve"> </w:t>
            </w:r>
          </w:p>
          <w:p>
            <w:pPr>
              <w:widowControl/>
              <w:autoSpaceDE/>
              <w:autoSpaceDN/>
              <w:rPr>
                <w:rFonts w:asciiTheme="minorHAnsi" w:hAnsiTheme="minorHAnsi" w:cstheme="minorHAnsi"/>
                <w:lang w:val="en-GB" w:eastAsia="en-GB"/>
              </w:rPr>
            </w:pPr>
            <w:r>
              <w:rPr>
                <w:rFonts w:asciiTheme="minorHAnsi" w:hAnsiTheme="minorHAnsi" w:cstheme="minorHAnsi"/>
                <w:lang w:val="en-GB" w:eastAsia="en-GB"/>
              </w:rPr>
              <w:t>Mikrokrediti kļūst arvien populārāki ES un starptautiskā līmenī, jo tie šķietami garantē augstāku elastības pakāpi, un to praktiskā izmantošana ļoti šaurās izglītības jomās neprasa plašas apmācības programmas.</w:t>
            </w:r>
          </w:p>
          <w:p>
            <w:pPr>
              <w:widowControl/>
              <w:autoSpaceDE/>
              <w:autoSpaceDN/>
              <w:rPr>
                <w:rFonts w:asciiTheme="minorHAnsi" w:hAnsiTheme="minorHAnsi" w:cstheme="minorHAnsi"/>
                <w:lang w:val="en-GB" w:eastAsia="en-GB"/>
              </w:rPr>
            </w:pPr>
          </w:p>
          <w:p>
            <w:pPr>
              <w:widowControl/>
              <w:autoSpaceDE/>
              <w:autoSpaceDN/>
              <w:rPr>
                <w:rFonts w:asciiTheme="minorHAnsi" w:hAnsiTheme="minorHAnsi" w:cstheme="minorHAnsi"/>
                <w:b/>
                <w:bCs/>
                <w:lang w:eastAsia="en-GB"/>
              </w:rPr>
            </w:pPr>
            <w:r>
              <w:rPr>
                <w:rFonts w:asciiTheme="minorHAnsi" w:hAnsiTheme="minorHAnsi" w:cstheme="minorHAnsi"/>
                <w:b/>
                <w:bCs/>
                <w:lang w:eastAsia="en-GB"/>
              </w:rPr>
              <w:t>Joprojām jaundzimušā koncepcija</w:t>
            </w:r>
          </w:p>
          <w:p>
            <w:pPr>
              <w:widowControl/>
              <w:autoSpaceDE/>
              <w:autoSpaceDN/>
              <w:rPr>
                <w:rFonts w:asciiTheme="minorHAnsi" w:hAnsiTheme="minorHAnsi" w:cstheme="minorHAnsi"/>
                <w:lang w:eastAsia="en-GB"/>
              </w:rPr>
            </w:pPr>
          </w:p>
          <w:p>
            <w:pPr>
              <w:widowControl/>
              <w:autoSpaceDE/>
              <w:autoSpaceDN/>
              <w:rPr>
                <w:rFonts w:asciiTheme="minorHAnsi" w:hAnsiTheme="minorHAnsi" w:cstheme="minorHAnsi"/>
                <w:lang w:eastAsia="en-GB"/>
              </w:rPr>
            </w:pPr>
            <w:r>
              <w:rPr>
                <w:rFonts w:asciiTheme="minorHAnsi" w:hAnsiTheme="minorHAnsi" w:cstheme="minorHAnsi"/>
                <w:lang w:val="en-GB" w:eastAsia="en-GB"/>
              </w:rPr>
              <w:t>Mikrokredīta jēdziens joprojām ir ļoti agrīnā izstrādes stadijā, un joprojām nav vienprātības par mikrokredīta definīciju.</w:t>
            </w:r>
          </w:p>
          <w:p>
            <w:pPr>
              <w:widowControl/>
              <w:autoSpaceDE/>
              <w:autoSpaceDN/>
              <w:rPr>
                <w:rFonts w:asciiTheme="minorHAnsi" w:hAnsiTheme="minorHAnsi" w:cstheme="minorHAnsi"/>
                <w:lang w:val="en-GB" w:eastAsia="en-GB"/>
              </w:rPr>
            </w:pPr>
            <w:r>
              <w:rPr>
                <w:rFonts w:asciiTheme="minorHAnsi" w:hAnsiTheme="minorHAnsi" w:cstheme="minorHAnsi"/>
                <w:lang w:val="en-GB" w:eastAsia="en-GB"/>
              </w:rPr>
              <w:t xml:space="preserve">Labākā pieejamā atsauce no 2023. gada nāk no </w:t>
            </w:r>
            <w:r>
              <w:fldChar w:fldCharType="begin"/>
            </w:r>
            <w:r>
              <w:instrText xml:space="preserve"> HYPERLINK "https://unesdoc.unesco.org/in/documentViewer.xhtml?v=2.1.196&amp;id=p::usmarcdef_0000381668&amp;file=/in/rest/annotationSVC/DownloadWatermarkedAttachment/attach_import_2da68a70-ba6a-4af4-8381-bbef7425253c%3F_%3D381668eng.pdf&amp;locale=en&amp;multi=true&amp;ark=/ark:/48223/pf0000381668/PDF/381668eng.pdf" </w:instrText>
            </w:r>
            <w:r>
              <w:fldChar w:fldCharType="separate"/>
            </w:r>
            <w:r>
              <w:rPr>
                <w:rStyle w:val="10"/>
                <w:rFonts w:asciiTheme="minorHAnsi" w:hAnsiTheme="minorHAnsi" w:cstheme="minorHAnsi"/>
                <w:lang w:val="en-GB" w:eastAsia="en-GB"/>
              </w:rPr>
              <w:t xml:space="preserve">UNES </w:t>
            </w:r>
            <w:r>
              <w:rPr>
                <w:rStyle w:val="10"/>
                <w:rFonts w:asciiTheme="minorHAnsi" w:hAnsiTheme="minorHAnsi" w:cstheme="minorHAnsi"/>
                <w:lang w:val="en-GB" w:eastAsia="en-GB"/>
              </w:rPr>
              <w:fldChar w:fldCharType="end"/>
            </w:r>
            <w:r>
              <w:fldChar w:fldCharType="begin"/>
            </w:r>
            <w:r>
              <w:instrText xml:space="preserve"> HYPERLINK "https://unesdoc.unesco.org/in/documentViewer.xhtml?v=2.1.196&amp;id=p::usmarcdef_0000381668&amp;file=/in/rest/annotationSVC/DownloadWatermarkedAttachment/attach_import_2da68a70-ba6a-4af4-8381-bbef7425253c%3F_%3D381668eng.pdf&amp;locale=en&amp;multi=true&amp;ark=/ark:/48223/pf0000381668/PDF/381668eng.pdf" </w:instrText>
            </w:r>
            <w:r>
              <w:fldChar w:fldCharType="separate"/>
            </w:r>
            <w:r>
              <w:rPr>
                <w:rStyle w:val="10"/>
                <w:rFonts w:asciiTheme="minorHAnsi" w:hAnsiTheme="minorHAnsi" w:cstheme="minorHAnsi"/>
                <w:lang w:val="en-GB" w:eastAsia="en-GB"/>
              </w:rPr>
              <w:t xml:space="preserve">CO , saskaņā </w:t>
            </w:r>
            <w:r>
              <w:rPr>
                <w:rStyle w:val="10"/>
                <w:rFonts w:asciiTheme="minorHAnsi" w:hAnsiTheme="minorHAnsi" w:cstheme="minorHAnsi"/>
                <w:lang w:val="en-GB" w:eastAsia="en-GB"/>
              </w:rPr>
              <w:fldChar w:fldCharType="end"/>
            </w:r>
            <w:r>
              <w:fldChar w:fldCharType="begin"/>
            </w:r>
            <w:r>
              <w:instrText xml:space="preserve"> HYPERLINK "https://unesdoc.unesco.org/in/documentViewer.xhtml?v=2.1.196&amp;id=p::usmarcdef_0000381668&amp;file=/in/rest/annotationSVC/DownloadWatermarkedAttachment/attach_import_2da68a70-ba6a-4af4-8381-bbef7425253c%3F_%3D381668eng.pdf&amp;locale=en&amp;multi=true&amp;ark=/ark:/48223/pf0000381668/PDF/381668eng.pdf" </w:instrText>
            </w:r>
            <w:r>
              <w:fldChar w:fldCharType="separate"/>
            </w:r>
            <w:r>
              <w:rPr>
                <w:rStyle w:val="10"/>
                <w:rFonts w:asciiTheme="minorHAnsi" w:hAnsiTheme="minorHAnsi" w:cstheme="minorHAnsi"/>
                <w:lang w:val="en-GB" w:eastAsia="en-GB"/>
              </w:rPr>
              <w:t xml:space="preserve">ar </w:t>
            </w:r>
            <w:r>
              <w:rPr>
                <w:rStyle w:val="10"/>
                <w:rFonts w:asciiTheme="minorHAnsi" w:hAnsiTheme="minorHAnsi" w:cstheme="minorHAnsi"/>
                <w:lang w:val="en-GB" w:eastAsia="en-GB"/>
              </w:rPr>
              <w:fldChar w:fldCharType="end"/>
            </w:r>
            <w:r>
              <w:rPr>
                <w:rFonts w:asciiTheme="minorHAnsi" w:hAnsiTheme="minorHAnsi" w:cstheme="minorHAnsi"/>
                <w:lang w:val="en-GB" w:eastAsia="en-GB"/>
              </w:rPr>
              <w:t>kuru mikroakreditācijas dokuments:</w:t>
            </w:r>
          </w:p>
          <w:p>
            <w:pPr>
              <w:widowControl/>
              <w:autoSpaceDE/>
              <w:autoSpaceDN/>
              <w:rPr>
                <w:rFonts w:asciiTheme="minorHAnsi" w:hAnsiTheme="minorHAnsi" w:cstheme="minorHAnsi"/>
                <w:lang w:eastAsia="en-GB"/>
              </w:rPr>
            </w:pPr>
          </w:p>
          <w:p>
            <w:pPr>
              <w:widowControl/>
              <w:numPr>
                <w:ilvl w:val="0"/>
                <w:numId w:val="13"/>
              </w:numPr>
              <w:autoSpaceDE/>
              <w:autoSpaceDN/>
              <w:rPr>
                <w:rFonts w:asciiTheme="minorHAnsi" w:hAnsiTheme="minorHAnsi" w:cstheme="minorHAnsi"/>
                <w:lang w:eastAsia="en-GB"/>
              </w:rPr>
            </w:pPr>
            <w:r>
              <w:rPr>
                <w:rFonts w:asciiTheme="minorHAnsi" w:hAnsiTheme="minorHAnsi" w:cstheme="minorHAnsi"/>
                <w:lang w:val="en-GB" w:eastAsia="en-GB"/>
              </w:rPr>
              <w:t>Tas ir mērķtiecīgu mācību sasniegumu ieraksts, kas apliecina, ko apmācāmais zina, saprot vai var darīt</w:t>
            </w:r>
          </w:p>
          <w:p>
            <w:pPr>
              <w:widowControl/>
              <w:numPr>
                <w:ilvl w:val="0"/>
                <w:numId w:val="13"/>
              </w:numPr>
              <w:autoSpaceDE/>
              <w:autoSpaceDN/>
              <w:rPr>
                <w:rFonts w:asciiTheme="minorHAnsi" w:hAnsiTheme="minorHAnsi" w:cstheme="minorHAnsi"/>
                <w:lang w:eastAsia="en-GB"/>
              </w:rPr>
            </w:pPr>
            <w:r>
              <w:rPr>
                <w:rFonts w:asciiTheme="minorHAnsi" w:hAnsiTheme="minorHAnsi" w:cstheme="minorHAnsi"/>
                <w:lang w:val="en-GB" w:eastAsia="en-GB"/>
              </w:rPr>
              <w:t>Ietver novērtējumu, kura pamatā ir skaidri noteikti standarti, un to piešķir uzticams pakalpojumu sniedzējs</w:t>
            </w:r>
          </w:p>
          <w:p>
            <w:pPr>
              <w:widowControl/>
              <w:numPr>
                <w:ilvl w:val="0"/>
                <w:numId w:val="13"/>
              </w:numPr>
              <w:autoSpaceDE/>
              <w:autoSpaceDN/>
              <w:rPr>
                <w:rFonts w:asciiTheme="minorHAnsi" w:hAnsiTheme="minorHAnsi" w:cstheme="minorHAnsi"/>
                <w:lang w:val="en-GB" w:eastAsia="en-GB"/>
              </w:rPr>
            </w:pPr>
            <w:r>
              <w:rPr>
                <w:rFonts w:asciiTheme="minorHAnsi" w:hAnsiTheme="minorHAnsi" w:cstheme="minorHAnsi"/>
                <w:lang w:val="en-GB" w:eastAsia="en-GB"/>
              </w:rPr>
              <w:t>Tam ir atsevišķa vērtība, un tas var arī veicināt vai papildināt citus mikro- vai makroakreditācijas datus, tostarp atzīstot iepriekšējo izglītību</w:t>
            </w:r>
          </w:p>
          <w:p>
            <w:pPr>
              <w:widowControl/>
              <w:numPr>
                <w:ilvl w:val="0"/>
                <w:numId w:val="13"/>
              </w:numPr>
              <w:autoSpaceDE/>
              <w:autoSpaceDN/>
              <w:rPr>
                <w:rFonts w:asciiTheme="minorHAnsi" w:hAnsiTheme="minorHAnsi" w:cstheme="minorHAnsi"/>
                <w:lang w:val="en-GB" w:eastAsia="en-GB"/>
              </w:rPr>
            </w:pPr>
            <w:r>
              <w:rPr>
                <w:rFonts w:asciiTheme="minorHAnsi" w:hAnsiTheme="minorHAnsi" w:cstheme="minorHAnsi"/>
                <w:lang w:val="en-GB" w:eastAsia="en-GB"/>
              </w:rPr>
              <w:t>Atbilst attiecīgās kvalitātes nodrošināšanas standartiem</w:t>
            </w:r>
          </w:p>
          <w:p>
            <w:pPr>
              <w:widowControl/>
              <w:autoSpaceDE/>
              <w:autoSpaceDN/>
              <w:rPr>
                <w:rFonts w:asciiTheme="minorHAnsi" w:hAnsiTheme="minorHAnsi" w:cstheme="minorHAnsi"/>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Glosārijs</w:t>
            </w:r>
          </w:p>
        </w:tc>
        <w:tc>
          <w:tcPr>
            <w:tcW w:w="6631" w:type="dxa"/>
            <w:gridSpan w:val="2"/>
            <w:tcBorders>
              <w:top w:val="single" w:color="auto" w:sz="4" w:space="0"/>
              <w:left w:val="single" w:color="auto" w:sz="4" w:space="0"/>
              <w:bottom w:val="single" w:color="auto" w:sz="4" w:space="0"/>
              <w:right w:val="single" w:color="auto" w:sz="4" w:space="0"/>
            </w:tcBorders>
          </w:tcPr>
          <w:p>
            <w:pPr>
              <w:pStyle w:val="16"/>
              <w:widowControl/>
              <w:autoSpaceDE/>
              <w:autoSpaceDN/>
              <w:ind w:left="360"/>
              <w:contextualSpacing/>
              <w:textAlignment w:val="baseline"/>
              <w:rPr>
                <w:rFonts w:asciiTheme="minorHAnsi" w:hAnsiTheme="minorHAnsi" w:cstheme="minorHAnsi"/>
                <w:b/>
                <w:bCs/>
                <w:lang w:val="en-GB" w:eastAsia="en-GB"/>
              </w:rPr>
            </w:pPr>
          </w:p>
          <w:p>
            <w:pPr>
              <w:pStyle w:val="16"/>
              <w:widowControl/>
              <w:numPr>
                <w:ilvl w:val="0"/>
                <w:numId w:val="14"/>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Mikrokredīts:</w:t>
            </w:r>
          </w:p>
          <w:p>
            <w:pPr>
              <w:pStyle w:val="16"/>
              <w:widowControl/>
              <w:numPr>
                <w:ilvl w:val="0"/>
                <w:numId w:val="14"/>
              </w:numPr>
              <w:autoSpaceDE/>
              <w:autoSpaceDN/>
              <w:ind w:left="1139"/>
              <w:contextualSpacing/>
              <w:textAlignment w:val="baseline"/>
              <w:rPr>
                <w:rFonts w:asciiTheme="minorHAnsi" w:hAnsiTheme="minorHAnsi" w:cstheme="minorHAnsi"/>
                <w:lang w:val="en-GB" w:eastAsia="en-GB"/>
              </w:rPr>
            </w:pPr>
            <w:r>
              <w:rPr>
                <w:rFonts w:asciiTheme="minorHAnsi" w:hAnsiTheme="minorHAnsi" w:cstheme="minorHAnsi"/>
                <w:lang w:val="en-GB" w:eastAsia="en-GB"/>
              </w:rPr>
              <w:t>Tas ir mērķtiecīgu mācību sasniegumu ieraksts, kas apliecina, ko apmācāmais zina, saprot vai var darīt.</w:t>
            </w:r>
          </w:p>
          <w:p>
            <w:pPr>
              <w:pStyle w:val="16"/>
              <w:widowControl/>
              <w:numPr>
                <w:ilvl w:val="0"/>
                <w:numId w:val="14"/>
              </w:numPr>
              <w:autoSpaceDE/>
              <w:autoSpaceDN/>
              <w:ind w:left="1139"/>
              <w:contextualSpacing/>
              <w:textAlignment w:val="baseline"/>
              <w:rPr>
                <w:rFonts w:asciiTheme="minorHAnsi" w:hAnsiTheme="minorHAnsi" w:cstheme="minorHAnsi"/>
                <w:lang w:val="en-GB" w:eastAsia="en-GB"/>
              </w:rPr>
            </w:pPr>
            <w:r>
              <w:rPr>
                <w:rFonts w:asciiTheme="minorHAnsi" w:hAnsiTheme="minorHAnsi" w:cstheme="minorHAnsi"/>
                <w:lang w:val="en-GB" w:eastAsia="en-GB"/>
              </w:rPr>
              <w:t>Ietver novērtējumu, kura pamatā ir skaidri noteikti standarti, un to piešķir uzticams pakalpojumu sniedzējs.</w:t>
            </w:r>
          </w:p>
          <w:p>
            <w:pPr>
              <w:pStyle w:val="16"/>
              <w:widowControl/>
              <w:numPr>
                <w:ilvl w:val="0"/>
                <w:numId w:val="14"/>
              </w:numPr>
              <w:autoSpaceDE/>
              <w:autoSpaceDN/>
              <w:ind w:left="1139"/>
              <w:contextualSpacing/>
              <w:textAlignment w:val="baseline"/>
              <w:rPr>
                <w:rFonts w:asciiTheme="minorHAnsi" w:hAnsiTheme="minorHAnsi" w:cstheme="minorHAnsi"/>
                <w:lang w:val="en-GB" w:eastAsia="en-GB"/>
              </w:rPr>
            </w:pPr>
            <w:r>
              <w:rPr>
                <w:rFonts w:asciiTheme="minorHAnsi" w:hAnsiTheme="minorHAnsi" w:cstheme="minorHAnsi"/>
                <w:lang w:val="en-GB" w:eastAsia="en-GB"/>
              </w:rPr>
              <w:t>Tam ir atsevišķa vērtība, un tas var arī veicināt vai papildināt citus mikro- vai makroakreditācijas datus, tostarp atzīstot iepriekšējo izglītību.</w:t>
            </w:r>
          </w:p>
          <w:p>
            <w:pPr>
              <w:pStyle w:val="16"/>
              <w:widowControl/>
              <w:numPr>
                <w:ilvl w:val="0"/>
                <w:numId w:val="14"/>
              </w:numPr>
              <w:autoSpaceDE/>
              <w:autoSpaceDN/>
              <w:ind w:left="1139"/>
              <w:contextualSpacing/>
              <w:textAlignment w:val="baseline"/>
              <w:rPr>
                <w:rFonts w:asciiTheme="minorHAnsi" w:hAnsiTheme="minorHAnsi" w:cstheme="minorHAnsi"/>
                <w:lang w:val="en-GB" w:eastAsia="en-GB"/>
              </w:rPr>
            </w:pPr>
            <w:r>
              <w:rPr>
                <w:rFonts w:asciiTheme="minorHAnsi" w:hAnsiTheme="minorHAnsi" w:cstheme="minorHAnsi"/>
                <w:lang w:val="en-GB" w:eastAsia="en-GB"/>
              </w:rPr>
              <w:t>Atbilst attiecīgās kvalitātes nodrošināšanas standartiem.</w:t>
            </w:r>
          </w:p>
          <w:p>
            <w:pPr>
              <w:pStyle w:val="16"/>
              <w:widowControl/>
              <w:autoSpaceDE/>
              <w:autoSpaceDN/>
              <w:ind w:left="1139"/>
              <w:contextualSpacing/>
              <w:textAlignment w:val="baseline"/>
              <w:rPr>
                <w:rFonts w:asciiTheme="minorHAnsi" w:hAnsiTheme="minorHAnsi" w:cstheme="minorHAnsi"/>
                <w:lang w:val="en-GB" w:eastAsia="en-GB"/>
              </w:rPr>
            </w:pPr>
          </w:p>
          <w:p>
            <w:pPr>
              <w:pStyle w:val="16"/>
              <w:widowControl/>
              <w:autoSpaceDE/>
              <w:autoSpaceDN/>
              <w:ind w:left="1139"/>
              <w:contextualSpacing/>
              <w:textAlignment w:val="baseline"/>
              <w:rPr>
                <w:rFonts w:asciiTheme="minorHAnsi" w:hAnsiTheme="minorHAnsi" w:cstheme="minorHAnsi"/>
              </w:rPr>
            </w:pPr>
            <w:r>
              <w:rPr>
                <w:rFonts w:asciiTheme="minorHAnsi" w:hAnsiTheme="minorHAnsi" w:cstheme="minorHAnsi"/>
                <w:lang w:val="en-GB" w:eastAsia="en-GB"/>
              </w:rPr>
              <w:t xml:space="preserve">Avots: UNESCO </w:t>
            </w:r>
            <w:r>
              <w:fldChar w:fldCharType="begin"/>
            </w:r>
            <w:r>
              <w:instrText xml:space="preserve"> HYPERLINK "https://unesdoc.unesco.org/in/documentViewer.xhtml?v=2.1.196&amp;id=p::usmarcdef_0000381668&amp;file=/in/rest/annotationSVC/DownloadWatermarkedAttachment/attach_import_2da68a70-ba6a-4af4-8381-bbef7425253c%3F_%3D381668eng.pdf&amp;locale=en&amp;multi=true&amp;ark=/ark:/48223/pf0000381668/PDF/381668eng.pdf" </w:instrText>
            </w:r>
            <w:r>
              <w:fldChar w:fldCharType="separate"/>
            </w:r>
            <w:r>
              <w:rPr>
                <w:rFonts w:asciiTheme="minorHAnsi" w:hAnsiTheme="minorHAnsi" w:cstheme="minorHAnsi"/>
              </w:rPr>
              <w:t xml:space="preserve">https://unesdoc.unesco.org/in/documentViewer.xhtml?v=2.1.196&amp;id=p::usmarcdef_0000381668&amp;file=/in/rest/annotationSVC/DownloadWatermarkedAttachment/attach_import_0aba-6ef8a742da-6ef8 253c %3F_ </w:t>
            </w:r>
            <w:r>
              <w:rPr>
                <w:rFonts w:asciiTheme="minorHAnsi" w:hAnsiTheme="minorHAnsi" w:cstheme="minorHAnsi"/>
              </w:rPr>
              <w:fldChar w:fldCharType="end"/>
            </w:r>
            <w:r>
              <w:fldChar w:fldCharType="begin"/>
            </w:r>
            <w:r>
              <w:instrText xml:space="preserve"> HYPERLINK "https://unesdoc.unesco.org/in/documentViewer.xhtml?v=2.1.196&amp;id=p::usmarcdef_0000381668&amp;file=/in/rest/annotationSVC/DownloadWatermarkedAttachment/attach_import_2da68a70-ba6a-4af4-8381-bbef7425253c%3F_%3D381668eng.pdf&amp;locale=en&amp;multi=true&amp;ark=/ark:/48223/pf0000381668/PDF/381668eng.pdf" </w:instrText>
            </w:r>
            <w:r>
              <w:fldChar w:fldCharType="separate"/>
            </w:r>
            <w:r>
              <w:rPr>
                <w:rFonts w:asciiTheme="minorHAnsi" w:hAnsiTheme="minorHAnsi" w:cstheme="minorHAnsi"/>
              </w:rPr>
              <w:t>%3D381668eng.pdf&amp;locale=en&amp;multi=true&amp;ark=/ark:/48223/pf0000381668/PDF/381668eng.pdf</w:t>
            </w:r>
            <w:r>
              <w:rPr>
                <w:rFonts w:asciiTheme="minorHAnsi" w:hAnsiTheme="minorHAnsi" w:cstheme="minorHAnsi"/>
              </w:rPr>
              <w:fldChar w:fldCharType="end"/>
            </w:r>
          </w:p>
          <w:p>
            <w:pPr>
              <w:pStyle w:val="16"/>
              <w:widowControl/>
              <w:autoSpaceDE/>
              <w:autoSpaceDN/>
              <w:ind w:left="1139"/>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numPr>
                <w:ilvl w:val="0"/>
                <w:numId w:val="14"/>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EKI: </w:t>
            </w:r>
            <w:r>
              <w:rPr>
                <w:rFonts w:asciiTheme="minorHAnsi" w:hAnsiTheme="minorHAnsi" w:cstheme="minorHAnsi"/>
                <w:lang w:val="en-GB" w:eastAsia="en-GB"/>
              </w:rPr>
              <w:t>EKI ir 8 līmeņu, uz mācīšanās rezultātiem balstīta ietvarstruktūra visu veidu kvalifikācijām, kas kalpo kā tulkošanas rīks starp dažādām nacionālajām kvalifikāciju ietvarstruktūrām. Šī sistēma palīdz uzlabot cilvēku kvalifikāciju caurskatāmību, salīdzināmību un pārnesamību un ļauj salīdzināt dažādu valstu un iestāžu kvalifikācijas.</w:t>
            </w:r>
          </w:p>
          <w:p>
            <w:pPr>
              <w:pStyle w:val="16"/>
              <w:widowControl/>
              <w:autoSpaceDE/>
              <w:autoSpaceDN/>
              <w:ind w:left="720"/>
              <w:contextualSpacing/>
              <w:textAlignment w:val="baseline"/>
              <w:rPr>
                <w:rFonts w:asciiTheme="minorHAnsi" w:hAnsiTheme="minorHAnsi" w:cstheme="minorHAnsi"/>
                <w:b/>
                <w:bCs/>
                <w:lang w:val="en-GB" w:eastAsia="en-GB"/>
              </w:rPr>
            </w:pPr>
          </w:p>
          <w:p>
            <w:pPr>
              <w:pStyle w:val="16"/>
              <w:widowControl/>
              <w:autoSpaceDE/>
              <w:autoSpaceDN/>
              <w:ind w:left="72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Europass Eiropas Savienība</w:t>
            </w:r>
          </w:p>
          <w:p>
            <w:pPr>
              <w:pStyle w:val="16"/>
              <w:widowControl/>
              <w:autoSpaceDE/>
              <w:autoSpaceDN/>
              <w:ind w:left="360"/>
              <w:contextualSpacing/>
              <w:textAlignment w:val="baseline"/>
              <w:rPr>
                <w:rFonts w:asciiTheme="minorHAnsi" w:hAnsiTheme="minorHAnsi" w:cstheme="minorHAnsi"/>
              </w:rPr>
            </w:pPr>
            <w:r>
              <w:fldChar w:fldCharType="begin"/>
            </w:r>
            <w:r>
              <w:instrText xml:space="preserve"> HYPERLINK "https://europa.eu/europass/en/europass-tools/european-qualifications-framework" </w:instrText>
            </w:r>
            <w:r>
              <w:fldChar w:fldCharType="separate"/>
            </w:r>
            <w:r>
              <w:rPr>
                <w:rStyle w:val="10"/>
                <w:rFonts w:asciiTheme="minorHAnsi" w:hAnsiTheme="minorHAnsi" w:cstheme="minorHAnsi"/>
              </w:rPr>
              <w:t>https://europa.eu/europass/en/europass-tools/european-qualifications-framework</w:t>
            </w:r>
            <w:r>
              <w:rPr>
                <w:rStyle w:val="10"/>
                <w:rFonts w:asciiTheme="minorHAnsi" w:hAnsiTheme="minorHAnsi" w:cstheme="minorHAnsi"/>
              </w:rPr>
              <w:fldChar w:fldCharType="end"/>
            </w:r>
          </w:p>
          <w:p>
            <w:pPr>
              <w:pStyle w:val="16"/>
              <w:widowControl/>
              <w:autoSpaceDE/>
              <w:autoSpaceDN/>
              <w:ind w:left="360"/>
              <w:contextualSpacing/>
              <w:textAlignment w:val="baseline"/>
              <w:rPr>
                <w:rFonts w:asciiTheme="minorHAnsi" w:hAnsiTheme="minorHAnsi" w:cstheme="minorHAnsi"/>
                <w:b/>
                <w:bCs/>
                <w:lang w:val="en-GB" w:eastAsia="en-GB"/>
              </w:rPr>
            </w:pPr>
          </w:p>
          <w:p>
            <w:pPr>
              <w:pStyle w:val="16"/>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EURES: </w:t>
            </w:r>
            <w:r>
              <w:rPr>
                <w:rFonts w:asciiTheme="minorHAnsi" w:hAnsiTheme="minorHAnsi" w:cstheme="minorHAnsi"/>
                <w:lang w:val="en-GB" w:eastAsia="en-GB"/>
              </w:rPr>
              <w:t>Eiropas nodarbinātības dienesti (EURES) ir Eiropas sadarbības tīkls starp Eiropas Komisiju, Eiropas Darba iestādi (ELA), valsts sabiedrību un citiem pieņemtajiem nodarbinātības dienestiem visās ES valstīs, Islandē, Lihtenšteinā, Norvēģijā un Šveicē.</w:t>
            </w: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lang w:eastAsia="en-GB"/>
              </w:rPr>
            </w:pPr>
            <w:r>
              <w:rPr>
                <w:rFonts w:asciiTheme="minorHAnsi" w:hAnsiTheme="minorHAnsi" w:cstheme="minorHAnsi"/>
                <w:lang w:eastAsia="en-GB"/>
              </w:rPr>
              <w:t>Avots:</w:t>
            </w:r>
            <w:r>
              <w:t xml:space="preserve"> </w:t>
            </w:r>
            <w:r>
              <w:rPr>
                <w:rFonts w:asciiTheme="minorHAnsi" w:hAnsiTheme="minorHAnsi" w:cstheme="minorHAnsi"/>
                <w:lang w:eastAsia="en-GB"/>
              </w:rPr>
              <w:t>ELA (Eiropas Darba iestāde) https://www.ela.europa.eu/en/eures-network#:~:text=The%20European%20employment%20services%20(EURES,%2C%20Lihtenšteina%2C%20Norvēģija% 20 un %20 Šveice.</w:t>
            </w:r>
          </w:p>
          <w:p>
            <w:pPr>
              <w:pStyle w:val="16"/>
              <w:widowControl/>
              <w:autoSpaceDE/>
              <w:autoSpaceDN/>
              <w:ind w:left="360"/>
              <w:contextualSpacing/>
              <w:textAlignment w:val="baseline"/>
              <w:rPr>
                <w:rFonts w:asciiTheme="minorHAnsi" w:hAnsiTheme="minorHAnsi" w:cstheme="minorHAnsi"/>
                <w:b/>
                <w:bCs/>
                <w:lang w:eastAsia="en-GB"/>
              </w:rPr>
            </w:pPr>
          </w:p>
          <w:p>
            <w:pPr>
              <w:pStyle w:val="16"/>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Europass : </w:t>
            </w:r>
            <w:r>
              <w:rPr>
                <w:rFonts w:asciiTheme="minorHAnsi" w:hAnsiTheme="minorHAnsi" w:cstheme="minorHAnsi"/>
                <w:lang w:val="en-GB" w:eastAsia="en-GB"/>
              </w:rPr>
              <w:t>ir tiešsaistes rīku un informācijas kopums, kas palīdz pārvaldīt katru mācību un karjeras posmu. Rīki un informācija palīdz skaidri un konsekventi paziņot par savām prasmēm, kvalifikācijām un pieredzi visā Eiropā. Eiropas Komisija izstrādāja Europass ..</w:t>
            </w: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rPr>
            </w:pPr>
            <w:r>
              <w:rPr>
                <w:rFonts w:asciiTheme="minorHAnsi" w:hAnsiTheme="minorHAnsi" w:cstheme="minorHAnsi"/>
                <w:lang w:val="en-GB" w:eastAsia="en-GB"/>
              </w:rPr>
              <w:t xml:space="preserve">Avots: Europass European Union </w:t>
            </w:r>
            <w:r>
              <w:fldChar w:fldCharType="begin"/>
            </w:r>
            <w:r>
              <w:instrText xml:space="preserve"> HYPERLINK "https://europa.eu/europass/en/what-europass-0" </w:instrText>
            </w:r>
            <w:r>
              <w:fldChar w:fldCharType="separate"/>
            </w:r>
            <w:r>
              <w:rPr>
                <w:rStyle w:val="10"/>
                <w:rFonts w:asciiTheme="minorHAnsi" w:hAnsiTheme="minorHAnsi" w:cstheme="minorHAnsi"/>
              </w:rPr>
              <w:t>https://europa.eu/europass/en/what-europass-0</w:t>
            </w:r>
            <w:r>
              <w:rPr>
                <w:rStyle w:val="10"/>
                <w:rFonts w:asciiTheme="minorHAnsi" w:hAnsiTheme="minorHAnsi" w:cstheme="minorHAnsi"/>
              </w:rPr>
              <w:fldChar w:fldCharType="end"/>
            </w: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ESCO (European Skills, Competences, Qualifications and Okupācijas): </w:t>
            </w:r>
            <w:r>
              <w:rPr>
                <w:rFonts w:asciiTheme="minorHAnsi" w:hAnsiTheme="minorHAnsi" w:cstheme="minorHAnsi"/>
                <w:lang w:val="en-GB" w:eastAsia="en-GB"/>
              </w:rPr>
              <w:t>ir Eiropas daudzvalodu prasmju, kompetenču un profesiju klasifikācija.</w:t>
            </w: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ESCO darbojas kā vārdnīca, aprakstot, identificējot un klasificējot profesionālās profesijas un prasmes, kas ir svarīgas ES darba tirgum un izglītībai un apmācībai.</w:t>
            </w:r>
          </w:p>
          <w:p>
            <w:pPr>
              <w:pStyle w:val="16"/>
              <w:widowControl/>
              <w:autoSpaceDE/>
              <w:autoSpaceDN/>
              <w:ind w:left="360"/>
              <w:contextualSpacing/>
              <w:textAlignment w:val="baseline"/>
              <w:rPr>
                <w:rFonts w:asciiTheme="minorHAnsi" w:hAnsiTheme="minorHAnsi" w:cstheme="minorHAnsi"/>
                <w:lang w:val="en-GB" w:eastAsia="en-GB"/>
              </w:rPr>
            </w:pPr>
          </w:p>
          <w:p>
            <w:pPr>
              <w:pStyle w:val="16"/>
              <w:widowControl/>
              <w:autoSpaceDE/>
              <w:autoSpaceDN/>
              <w:ind w:left="360"/>
              <w:contextualSpacing/>
              <w:textAlignment w:val="baseline"/>
              <w:rPr>
                <w:rFonts w:asciiTheme="minorHAnsi" w:hAnsiTheme="minorHAnsi" w:cstheme="minorHAnsi"/>
              </w:rPr>
            </w:pPr>
            <w:r>
              <w:rPr>
                <w:rFonts w:asciiTheme="minorHAnsi" w:hAnsiTheme="minorHAnsi" w:cstheme="minorHAnsi"/>
                <w:lang w:val="en-GB" w:eastAsia="en-GB"/>
              </w:rPr>
              <w:t xml:space="preserve">Avots: Eiropas Komisija </w:t>
            </w:r>
            <w:r>
              <w:fldChar w:fldCharType="begin"/>
            </w:r>
            <w:r>
              <w:instrText xml:space="preserve"> HYPERLINK "https://esco.ec.europa.eu/en/about-esco/what-esco#:~:text=ESCO%20(European%20Skills%2C%20Competences%2C,market%20and%20education%20and%20training" </w:instrText>
            </w:r>
            <w:r>
              <w:fldChar w:fldCharType="separate"/>
            </w:r>
            <w:r>
              <w:rPr>
                <w:rStyle w:val="10"/>
                <w:rFonts w:asciiTheme="minorHAnsi" w:hAnsiTheme="minorHAnsi" w:cstheme="minorHAnsi"/>
              </w:rPr>
              <w:t xml:space="preserve">https://esco.ec.europa.eu/en/about-esco/what-esco#:~:text=ESCO%20(European%20Skills%2C%20Competences%2C,market%20and%20education %20un%20apmācība </w:t>
            </w:r>
            <w:r>
              <w:rPr>
                <w:rStyle w:val="10"/>
                <w:rFonts w:asciiTheme="minorHAnsi" w:hAnsiTheme="minorHAnsi" w:cstheme="minorHAnsi"/>
              </w:rPr>
              <w:fldChar w:fldCharType="end"/>
            </w:r>
            <w:r>
              <w:rPr>
                <w:rFonts w:asciiTheme="minorHAnsi" w:hAnsiTheme="minorHAnsi" w:cstheme="minorHAnsi"/>
              </w:rPr>
              <w:t>.</w:t>
            </w:r>
          </w:p>
          <w:p>
            <w:pPr>
              <w:pStyle w:val="16"/>
              <w:widowControl/>
              <w:autoSpaceDE/>
              <w:autoSpaceDN/>
              <w:ind w:left="360"/>
              <w:contextualSpacing/>
              <w:textAlignment w:val="baseline"/>
              <w:rPr>
                <w:rFonts w:asciiTheme="minorHAnsi" w:hAnsiTheme="minorHAnsi" w:cstheme="minorHAnsi"/>
              </w:rPr>
            </w:pPr>
          </w:p>
          <w:p>
            <w:pPr>
              <w:pStyle w:val="16"/>
              <w:widowControl/>
              <w:autoSpaceDE/>
              <w:autoSpaceDN/>
              <w:ind w:left="360"/>
              <w:contextualSpacing/>
              <w:textAlignment w:val="baseline"/>
              <w:rPr>
                <w:rFonts w:asciiTheme="minorHAnsi" w:hAnsiTheme="minorHAnsi" w:cstheme="minorHAnsi"/>
                <w:b/>
                <w:bCs/>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14:textFill>
                  <w14:solidFill>
                    <w14:schemeClr w14:val="bg1"/>
                  </w14:solidFill>
                </w14:textFill>
              </w:rPr>
              <w:t>Pašnovērtējums (vaicājumi un atbildes ar vairākiem atbilžu variantiem)</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1. Kas ir DEMING cikls: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plānošana → īstenošana → pārbaude → pārskatīšana → plānošana → utt.</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pārbaude → īstenošana → plānošana → pārskatīšana → plānošana → utt.</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ieviešana → pārskatīšana → pārbaude → plānošana → utt.</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2. Kāda ir EQAVET divējāda lietojumprogramma?</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Sistēmas un prakses līmenis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Pamata un augstākā līmeņa līmenis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Pirmais un otrais līmenis</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3. EKI ir:</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Visi ir pareizi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Transnacionāls framewok</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Pašlaik pieņemts visās ES dalībvalstīs un pārējās 11 valstīs*</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4. CEDEFOP ir?</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ES izglītības un apmācības attīstības aģentūra</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Starptautiskā izglītības un apmācības attīstības aģentūra</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ES darba un apmācības aģentūra</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5. Kurš no šiem apgalvojumiem ir pareizs?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EQAVET ietvars ir iedvesmots no tradicionālā DEMING cikla</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EQAVET ietvars ir iedvesmots no tradicionālā EQAVET cikla</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viss ir pareizi</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Atsauces materiāls</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Resursi (video, atsauces saite)</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rPr>
                <w:rFonts w:asciiTheme="minorHAnsi" w:hAnsiTheme="minorHAnsi" w:cstheme="minorHAnsi"/>
                <w:lang w:val="en-GB" w:eastAsia="en-GB"/>
              </w:rPr>
            </w:pPr>
            <w:r>
              <w:rPr>
                <w:rFonts w:asciiTheme="minorHAnsi" w:hAnsiTheme="minorHAnsi" w:cstheme="minorHAnsi"/>
                <w:lang w:val="en-GB" w:eastAsia="en-GB"/>
              </w:rPr>
              <w:t>20230610 — AMTECH — IDP un IHF.pptx apmācību līdzizstrādātājs</w:t>
            </w:r>
          </w:p>
        </w:tc>
      </w:tr>
    </w:tbl>
    <w:p>
      <w:pPr>
        <w:ind w:left="1003"/>
        <w:rPr>
          <w:rFonts w:ascii="Times New Roman" w:hAnsi="Times New Roman" w:eastAsia="Times New Roman" w:cs="Times New Roman"/>
          <w:lang w:val="en-GB"/>
        </w:rPr>
      </w:pPr>
    </w:p>
    <w:p>
      <w:pPr>
        <w:shd w:val="clear" w:color="auto" w:fill="FFFFFF" w:themeFill="background1"/>
        <w:ind w:left="1003"/>
        <w:rPr>
          <w:color w:val="FFFFFF" w:themeColor="background1"/>
          <w:lang w:val="en-GB"/>
          <w14:textFill>
            <w14:solidFill>
              <w14:schemeClr w14:val="bg1"/>
            </w14:solidFill>
          </w14:textFill>
        </w:rPr>
      </w:pPr>
    </w:p>
    <w:p>
      <w:pPr>
        <w:ind w:left="2432" w:hanging="709"/>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sectPr>
      <w:headerReference r:id="rId3" w:type="default"/>
      <w:footerReference r:id="rId4" w:type="default"/>
      <w:type w:val="continuous"/>
      <w:pgSz w:w="11910" w:h="16850"/>
      <w:pgMar w:top="0" w:right="570" w:bottom="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Arial MT">
    <w:altName w:val="Nimbus Roman No9 L"/>
    <w:panose1 w:val="00000000000000000000"/>
    <w:charset w:val="01"/>
    <w:family w:val="swiss"/>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03" w:csb0="600101FF" w:csb1="FFFF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Tahoma">
    <w:altName w:val="DejaVu Sans"/>
    <w:panose1 w:val="020B0604030504040204"/>
    <w:charset w:val="00"/>
    <w:family w:val="swiss"/>
    <w:pitch w:val="default"/>
    <w:sig w:usb0="00000000" w:usb1="00000000" w:usb2="00000029" w:usb3="00000000" w:csb0="000101FF" w:csb1="00000000"/>
  </w:font>
  <w:font w:name="Wingdings">
    <w:altName w:val="OpenSymbol"/>
    <w:panose1 w:val="05000000000000000000"/>
    <w:charset w:val="02"/>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80000001" w:csb1="00000000"/>
  </w:font>
  <w:font w:name="Symbol">
    <w:altName w:val="Open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Style w:val="20"/>
        <w:rFonts w:asciiTheme="minorHAnsi" w:hAnsiTheme="minorHAnsi" w:cstheme="minorHAnsi"/>
        <w:color w:val="000000"/>
        <w:sz w:val="16"/>
        <w:szCs w:val="16"/>
      </w:rPr>
      <mc:AlternateContent>
        <mc:Choice Requires="wps">
          <w:drawing>
            <wp:anchor distT="45720" distB="45720" distL="114300" distR="114300" simplePos="0" relativeHeight="251664384" behindDoc="0" locked="0" layoutInCell="1" allowOverlap="1">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ln>
                    </wps:spPr>
                    <wps:txbx>
                      <w:txbxContent>
                        <w:p>
                          <w:pPr>
                            <w:rPr>
                              <w:rFonts w:asciiTheme="minorHAnsi" w:hAnsiTheme="minorHAnsi" w:cstheme="minorHAnsi"/>
                              <w:sz w:val="9"/>
                              <w:szCs w:val="9"/>
                            </w:rPr>
                          </w:pPr>
                          <w:r>
                            <w:rPr>
                              <w:rFonts w:asciiTheme="minorHAnsi" w:hAnsiTheme="minorHAnsi" w:cstheme="minorHAnsi"/>
                              <w:sz w:val="9"/>
                              <w:szCs w:val="9"/>
                              <w:shd w:val="clear" w:color="auto" w:fill="FFFFFF"/>
                            </w:rPr>
                            <w:t>Legal description – Creative Commons licensing:</w:t>
                          </w:r>
                          <w:r>
                            <w:rPr>
                              <w:rFonts w:asciiTheme="minorHAnsi" w:hAnsiTheme="minorHAnsi" w:cstheme="minorHAnsi"/>
                              <w:sz w:val="9"/>
                              <w:szCs w:val="9"/>
                            </w:rPr>
                            <w:br w:type="textWrapping"/>
                          </w:r>
                          <w:r>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05.2pt;margin-top:5.75pt;height:110.6pt;width:203.6pt;mso-wrap-distance-bottom:3.6pt;mso-wrap-distance-left:9pt;mso-wrap-distance-right:9pt;mso-wrap-distance-top:3.6pt;z-index:251664384;mso-width-relative:page;mso-height-relative:margin;mso-height-percent:200;" filled="f" stroked="f" coordsize="21600,21600" o:gfxdata="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">
              <v:fill on="f" focussize="0,0"/>
              <v:stroke on="f" miterlimit="8" joinstyle="miter"/>
              <v:imagedata o:title=""/>
              <o:lock v:ext="edit" aspectratio="f"/>
              <v:textbox style="mso-fit-shape-to-text:t;">
                <w:txbxContent>
                  <w:p>
                    <w:pPr>
                      <w:rPr>
                        <w:rFonts w:asciiTheme="minorHAnsi" w:hAnsiTheme="minorHAnsi" w:cstheme="minorHAnsi"/>
                        <w:sz w:val="9"/>
                        <w:szCs w:val="9"/>
                      </w:rPr>
                    </w:pPr>
                    <w:r>
                      <w:rPr>
                        <w:rFonts w:asciiTheme="minorHAnsi" w:hAnsiTheme="minorHAnsi" w:cstheme="minorHAnsi"/>
                        <w:sz w:val="9"/>
                        <w:szCs w:val="9"/>
                        <w:shd w:val="clear" w:color="auto" w:fill="FFFFFF"/>
                      </w:rPr>
                      <w:t>Legal description – Creative Commons licensing:</w:t>
                    </w:r>
                    <w:r>
                      <w:rPr>
                        <w:rFonts w:asciiTheme="minorHAnsi" w:hAnsiTheme="minorHAnsi" w:cstheme="minorHAnsi"/>
                        <w:sz w:val="9"/>
                        <w:szCs w:val="9"/>
                      </w:rPr>
                      <w:br w:type="textWrapping"/>
                    </w:r>
                    <w:r>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drawing>
        <wp:anchor distT="0" distB="0" distL="114300" distR="114300" simplePos="0" relativeHeight="251667456" behindDoc="1" locked="0" layoutInCell="1" allowOverlap="1">
          <wp:simplePos x="0" y="0"/>
          <wp:positionH relativeFrom="column">
            <wp:posOffset>3281045</wp:posOffset>
          </wp:positionH>
          <wp:positionV relativeFrom="paragraph">
            <wp:posOffset>147955</wp:posOffset>
          </wp:positionV>
          <wp:extent cx="548005" cy="195580"/>
          <wp:effectExtent l="0" t="0" r="4445" b="0"/>
          <wp:wrapTight wrapText="bothSides">
            <wp:wrapPolygon>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80645"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8005" cy="195580"/>
                  </a:xfrm>
                  <a:prstGeom prst="rect">
                    <a:avLst/>
                  </a:prstGeom>
                  <a:noFill/>
                  <a:ln>
                    <a:noFill/>
                  </a:ln>
                </pic:spPr>
              </pic:pic>
            </a:graphicData>
          </a:graphic>
        </wp:anchor>
      </w:drawing>
    </w:r>
    <w:r>
      <w:rPr>
        <w:rStyle w:val="20"/>
        <w:rFonts w:asciiTheme="minorHAnsi" w:hAnsiTheme="minorHAnsi" w:cstheme="minorHAnsi"/>
        <w:color w:val="000000"/>
        <w:sz w:val="18"/>
        <w:szCs w:val="18"/>
      </w:rPr>
      <mc:AlternateContent>
        <mc:Choice Requires="wps">
          <w:drawing>
            <wp:anchor distT="45720" distB="45720" distL="114300" distR="114300" simplePos="0" relativeHeight="251659264" behindDoc="0" locked="0" layoutInCell="1" allowOverlap="1">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ln>
                    </wps:spPr>
                    <wps:txbx>
                      <w:txbxContent>
                        <w:p>
                          <w:pPr>
                            <w:jc w:val="both"/>
                            <w:rPr>
                              <w:sz w:val="9"/>
                              <w:szCs w:val="9"/>
                            </w:rPr>
                          </w:pPr>
                          <w:r>
                            <w:rPr>
                              <w:rStyle w:val="20"/>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76.45pt;margin-top:7.45pt;height:110.6pt;width:178.7pt;mso-wrap-distance-bottom:3.6pt;mso-wrap-distance-left:9pt;mso-wrap-distance-right:9pt;mso-wrap-distance-top:3.6pt;z-index:251659264;mso-width-relative:page;mso-height-relative:margin;mso-height-percent:200;" filled="f" stroked="f" coordsize="21600,21600" o:gfxdata="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">
              <v:fill on="f" focussize="0,0"/>
              <v:stroke on="f" miterlimit="8" joinstyle="miter"/>
              <v:imagedata o:title=""/>
              <o:lock v:ext="edit" aspectratio="f"/>
              <v:textbox style="mso-fit-shape-to-text:t;">
                <w:txbxContent>
                  <w:p>
                    <w:pPr>
                      <w:jc w:val="both"/>
                      <w:rPr>
                        <w:sz w:val="9"/>
                        <w:szCs w:val="9"/>
                      </w:rPr>
                    </w:pPr>
                    <w:r>
                      <w:rPr>
                        <w:rStyle w:val="20"/>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color w:val="000000"/>
        <w:sz w:val="18"/>
        <w:szCs w:val="18"/>
      </w:rPr>
      <w:drawing>
        <wp:anchor distT="0" distB="0" distL="114300" distR="114300" simplePos="0" relativeHeight="251668480" behindDoc="1" locked="0" layoutInCell="1" allowOverlap="1">
          <wp:simplePos x="0" y="0"/>
          <wp:positionH relativeFrom="column">
            <wp:posOffset>238760</wp:posOffset>
          </wp:positionH>
          <wp:positionV relativeFrom="paragraph">
            <wp:posOffset>156210</wp:posOffset>
          </wp:positionV>
          <wp:extent cx="763905" cy="159385"/>
          <wp:effectExtent l="0" t="0" r="0" b="0"/>
          <wp:wrapTight wrapText="bothSides">
            <wp:wrapPolygon>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sz w:val="20"/>
      </w:rPr>
    </w:pPr>
    <w:r>
      <mc:AlternateContent>
        <mc:Choice Requires="wps">
          <w:drawing>
            <wp:anchor distT="0" distB="0" distL="114300" distR="114300" simplePos="0" relativeHeight="251666432" behindDoc="0" locked="0" layoutInCell="1" allowOverlap="1">
              <wp:simplePos x="0" y="0"/>
              <wp:positionH relativeFrom="column">
                <wp:posOffset>-99060</wp:posOffset>
              </wp:positionH>
              <wp:positionV relativeFrom="paragraph">
                <wp:posOffset>-457200</wp:posOffset>
              </wp:positionV>
              <wp:extent cx="0" cy="10783570"/>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Conector recto 9" o:spid="_x0000_s1026" o:spt="20" style="position:absolute;left:0pt;margin-left:-7.8pt;margin-top:-36pt;height:849.1pt;width:0pt;z-index:251666432;mso-width-relative:page;mso-height-relative:page;" filled="f" stroked="t" coordsize="21600,21600" o:gfxdata="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">
              <v:fill on="f" focussize="0,0"/>
              <v:stroke weight="2.25pt" color="#98B954 [3206]"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2209800</wp:posOffset>
              </wp:positionH>
              <wp:positionV relativeFrom="page">
                <wp:posOffset>10654030</wp:posOffset>
              </wp:positionV>
              <wp:extent cx="0" cy="0"/>
              <wp:effectExtent l="0" t="0" r="0" b="0"/>
              <wp:wrapNone/>
              <wp:docPr id="8" name="Conector recto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8" o:spid="_x0000_s1026" o:spt="20" style="position:absolute;left:0pt;margin-left:174pt;margin-top:838.9pt;height:0pt;width:0pt;mso-position-horizontal-relative:page;mso-position-vertical-relative:page;z-index:251665408;mso-width-relative:page;mso-height-relative:page;" filled="f" stroked="t" coordsize="21600,21600" o:gfxdata="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612775</wp:posOffset>
              </wp:positionH>
              <wp:positionV relativeFrom="page">
                <wp:posOffset>10654030</wp:posOffset>
              </wp:positionV>
              <wp:extent cx="0" cy="0"/>
              <wp:effectExtent l="0" t="0" r="0" b="0"/>
              <wp:wrapNone/>
              <wp:docPr id="7" name="Conector recto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7" o:spid="_x0000_s1026" o:spt="20" style="position:absolute;left:0pt;margin-left:48.25pt;margin-top:838.9pt;height:0pt;width:0pt;mso-position-horizontal-relative:page;mso-position-vertical-relative:page;z-index:251663360;mso-width-relative:page;mso-height-relative:page;" filled="f" stroked="t" coordsize="21600,21600" o:gfxdata="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612775</wp:posOffset>
              </wp:positionH>
              <wp:positionV relativeFrom="page">
                <wp:posOffset>10654030</wp:posOffset>
              </wp:positionV>
              <wp:extent cx="0" cy="0"/>
              <wp:effectExtent l="0" t="0" r="0" b="0"/>
              <wp:wrapNone/>
              <wp:docPr id="6" name="Conector recto 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6" o:spid="_x0000_s1026" o:spt="20" style="position:absolute;left:0pt;margin-left:48.25pt;margin-top:838.9pt;height:0pt;width:0pt;mso-position-horizontal-relative:page;mso-position-vertical-relative:page;z-index:251662336;mso-width-relative:page;mso-height-relative:page;" filled="f" stroked="t" coordsize="21600,21600" o:gfxdata="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wps:spPr>
                    <wps:bodyPr rot="0" vert="horz" wrap="square" lIns="91440" tIns="45720" rIns="91440" bIns="45720" anchor="t" anchorCtr="0" upright="1">
                      <a:noAutofit/>
                    </wps:bodyPr>
                  </wps:wsp>
                </a:graphicData>
              </a:graphic>
            </wp:anchor>
          </w:drawing>
        </mc:Choice>
        <mc:Fallback>
          <w:pict>
            <v:rect id="Rectángulo 5" o:spid="_x0000_s1026" o:spt="1" style="position:absolute;left:0pt;margin-left:12.35pt;margin-top:0.05pt;height:842.2pt;width:27.75pt;mso-position-horizontal-relative:page;mso-position-vertical-relative:page;z-index:251661312;mso-width-relative:page;mso-height-relative:page;" fillcolor="#74B138" filled="t" stroked="f" coordsize="21600,21600" o:gfxdata="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">
              <v:fill on="t" focussize="0,0"/>
              <v:stroke on="f"/>
              <v:imagedata o:title=""/>
              <o:lock v:ext="edit" aspectratio="f"/>
            </v:rect>
          </w:pict>
        </mc:Fallback>
      </mc:AlternateContent>
    </w:r>
  </w:p>
  <w:p>
    <w:pPr>
      <w:pStyle w:val="6"/>
      <w:ind w:left="3249"/>
      <w:rPr>
        <w:rFonts w:ascii="Times New Roman"/>
        <w:sz w:val="20"/>
      </w:rPr>
    </w:pPr>
    <w:r>
      <w:rPr>
        <w:rFonts w:ascii="Times New Roman"/>
        <w:sz w:val="20"/>
      </w:rPr>
      <mc:AlternateContent>
        <mc:Choice Requires="wps">
          <w:drawing>
            <wp:anchor distT="0" distB="0" distL="114300" distR="114300" simplePos="0" relativeHeight="251660288" behindDoc="0" locked="0" layoutInCell="1" allowOverlap="1">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wps:spPr>
                    <wps:bodyPr rot="0" vert="horz" wrap="square" lIns="91440" tIns="45720" rIns="91440" bIns="45720" anchor="t" anchorCtr="0" upright="1">
                      <a:noAutofit/>
                    </wps:bodyPr>
                  </wps:wsp>
                </a:graphicData>
              </a:graphic>
            </wp:anchor>
          </w:drawing>
        </mc:Choice>
        <mc:Fallback>
          <w:pict>
            <v:rect id="Rectángulo 2" o:spid="_x0000_s1026" o:spt="1" style="position:absolute;left:0pt;margin-left:12.35pt;margin-top:0.05pt;height:842.2pt;width:27.75pt;mso-position-horizontal-relative:page;mso-position-vertical-relative:page;z-index:251660288;mso-width-relative:page;mso-height-relative:page;" fillcolor="#74B138" filled="t" stroked="f" coordsize="21600,21600" o:gfxdata="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">
              <v:fill on="t" focussize="0,0"/>
              <v:stroke on="f"/>
              <v:imagedata o:title=""/>
              <o:lock v:ext="edit" aspectratio="f"/>
            </v:rect>
          </w:pict>
        </mc:Fallback>
      </mc:AlternateContent>
    </w:r>
    <w:r>
      <w:rPr>
        <w:rFonts w:ascii="Times New Roman"/>
        <w:sz w:val="20"/>
      </w:rPr>
      <w:drawing>
        <wp:inline distT="0" distB="0" distL="0" distR="0">
          <wp:extent cx="2117090"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1" cstate="print"/>
                  <a:stretch>
                    <a:fillRect/>
                  </a:stretch>
                </pic:blipFill>
                <pic:spPr>
                  <a:xfrm>
                    <a:off x="0" y="0"/>
                    <a:ext cx="2117337" cy="400050"/>
                  </a:xfrm>
                  <a:prstGeom prst="rect">
                    <a:avLst/>
                  </a:prstGeom>
                </pic:spPr>
              </pic:pic>
            </a:graphicData>
          </a:graphic>
        </wp:inline>
      </w:drawing>
    </w:r>
  </w:p>
  <w:p>
    <w:pPr>
      <w:pStyle w:val="6"/>
      <w:spacing w:before="4"/>
      <w:rPr>
        <w:rFonts w:ascii="Times New Roman"/>
        <w:sz w:val="7"/>
      </w:rPr>
    </w:pPr>
  </w:p>
  <w:p>
    <w:pPr>
      <w:pStyle w:val="14"/>
    </w:pPr>
    <w:r>
      <w:rPr>
        <w:w w:val="105"/>
      </w:rPr>
      <w:t>amtechtraining.eu</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422F2"/>
    <w:multiLevelType w:val="multilevel"/>
    <w:tmpl w:val="0A8422F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C32099F"/>
    <w:multiLevelType w:val="multilevel"/>
    <w:tmpl w:val="0C32099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E17A79"/>
    <w:multiLevelType w:val="multilevel"/>
    <w:tmpl w:val="0EE17A7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104F5B2C"/>
    <w:multiLevelType w:val="multilevel"/>
    <w:tmpl w:val="104F5B2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1680739"/>
    <w:multiLevelType w:val="multilevel"/>
    <w:tmpl w:val="116807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BFC134D"/>
    <w:multiLevelType w:val="multilevel"/>
    <w:tmpl w:val="2BFC134D"/>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2D1F45F0"/>
    <w:multiLevelType w:val="multilevel"/>
    <w:tmpl w:val="2D1F45F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0C40213"/>
    <w:multiLevelType w:val="multilevel"/>
    <w:tmpl w:val="30C40213"/>
    <w:lvl w:ilvl="0" w:tentative="0">
      <w:start w:val="45"/>
      <w:numFmt w:val="bullet"/>
      <w:lvlText w:val=""/>
      <w:lvlJc w:val="left"/>
      <w:pPr>
        <w:ind w:left="720" w:hanging="360"/>
      </w:pPr>
      <w:rPr>
        <w:rFonts w:hint="default" w:ascii="Wingdings" w:hAnsi="Wingdings" w:eastAsia="Times New Roman" w:cstheme="maj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1845795"/>
    <w:multiLevelType w:val="multilevel"/>
    <w:tmpl w:val="3184579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D40031E"/>
    <w:multiLevelType w:val="multilevel"/>
    <w:tmpl w:val="3D40031E"/>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F9B636F"/>
    <w:multiLevelType w:val="multilevel"/>
    <w:tmpl w:val="3F9B636F"/>
    <w:lvl w:ilvl="0" w:tentative="0">
      <w:start w:val="45"/>
      <w:numFmt w:val="bullet"/>
      <w:lvlText w:val=""/>
      <w:lvlJc w:val="left"/>
      <w:pPr>
        <w:ind w:left="720" w:hanging="360"/>
      </w:pPr>
      <w:rPr>
        <w:rFonts w:hint="default" w:ascii="Wingdings" w:hAnsi="Wingdings" w:eastAsia="Times New Roman" w:cstheme="majorBidi"/>
        <w:color w:val="3A3A3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350252A"/>
    <w:multiLevelType w:val="multilevel"/>
    <w:tmpl w:val="4350252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12311EB"/>
    <w:multiLevelType w:val="multilevel"/>
    <w:tmpl w:val="712311EB"/>
    <w:lvl w:ilvl="0" w:tentative="0">
      <w:start w:val="3"/>
      <w:numFmt w:val="bullet"/>
      <w:lvlText w:val="-"/>
      <w:lvlJc w:val="left"/>
      <w:pPr>
        <w:ind w:left="720" w:hanging="360"/>
      </w:pPr>
      <w:rPr>
        <w:rFonts w:hint="default" w:ascii="Calibri" w:hAnsi="Calibri" w:eastAsia="Arial MT"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D48020B"/>
    <w:multiLevelType w:val="multilevel"/>
    <w:tmpl w:val="7D48020B"/>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3"/>
  </w:num>
  <w:num w:numId="4">
    <w:abstractNumId w:val="8"/>
  </w:num>
  <w:num w:numId="5">
    <w:abstractNumId w:val="6"/>
  </w:num>
  <w:num w:numId="6">
    <w:abstractNumId w:val="11"/>
  </w:num>
  <w:num w:numId="7">
    <w:abstractNumId w:val="1"/>
  </w:num>
  <w:num w:numId="8">
    <w:abstractNumId w:val="9"/>
  </w:num>
  <w:num w:numId="9">
    <w:abstractNumId w:val="13"/>
  </w:num>
  <w:num w:numId="10">
    <w:abstractNumId w:val="7"/>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73"/>
    <w:rsid w:val="0004266F"/>
    <w:rsid w:val="00047CBF"/>
    <w:rsid w:val="00094432"/>
    <w:rsid w:val="00151161"/>
    <w:rsid w:val="00183D9B"/>
    <w:rsid w:val="001A03B9"/>
    <w:rsid w:val="001B2A14"/>
    <w:rsid w:val="001B3E2A"/>
    <w:rsid w:val="001E31D6"/>
    <w:rsid w:val="0022770F"/>
    <w:rsid w:val="002370DF"/>
    <w:rsid w:val="002565A9"/>
    <w:rsid w:val="002677E0"/>
    <w:rsid w:val="0027523F"/>
    <w:rsid w:val="00281873"/>
    <w:rsid w:val="002821B2"/>
    <w:rsid w:val="002F4BEC"/>
    <w:rsid w:val="00305738"/>
    <w:rsid w:val="00355890"/>
    <w:rsid w:val="00374DA0"/>
    <w:rsid w:val="003968D0"/>
    <w:rsid w:val="003C1495"/>
    <w:rsid w:val="004129DB"/>
    <w:rsid w:val="004309C0"/>
    <w:rsid w:val="00453C95"/>
    <w:rsid w:val="00455F99"/>
    <w:rsid w:val="004847B8"/>
    <w:rsid w:val="004B32AD"/>
    <w:rsid w:val="004C4790"/>
    <w:rsid w:val="004F73C7"/>
    <w:rsid w:val="004F7783"/>
    <w:rsid w:val="00531390"/>
    <w:rsid w:val="0053788C"/>
    <w:rsid w:val="005408C9"/>
    <w:rsid w:val="00565B5C"/>
    <w:rsid w:val="005C2100"/>
    <w:rsid w:val="00621256"/>
    <w:rsid w:val="00681900"/>
    <w:rsid w:val="006D29DD"/>
    <w:rsid w:val="006D5A79"/>
    <w:rsid w:val="00716551"/>
    <w:rsid w:val="00771512"/>
    <w:rsid w:val="00851A7D"/>
    <w:rsid w:val="00866A2E"/>
    <w:rsid w:val="008953C4"/>
    <w:rsid w:val="008D2914"/>
    <w:rsid w:val="008F54DE"/>
    <w:rsid w:val="00972606"/>
    <w:rsid w:val="0097607E"/>
    <w:rsid w:val="00A21C73"/>
    <w:rsid w:val="00A4205C"/>
    <w:rsid w:val="00A64377"/>
    <w:rsid w:val="00AD2FC4"/>
    <w:rsid w:val="00AD53AF"/>
    <w:rsid w:val="00AF6FED"/>
    <w:rsid w:val="00B0269A"/>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19E0"/>
    <w:rsid w:val="00E1416C"/>
    <w:rsid w:val="00E20FA1"/>
    <w:rsid w:val="00E25F1F"/>
    <w:rsid w:val="00E260EF"/>
    <w:rsid w:val="00E80FDB"/>
    <w:rsid w:val="00F25199"/>
    <w:rsid w:val="00F34DB3"/>
    <w:rsid w:val="00F40BD2"/>
    <w:rsid w:val="00F870E7"/>
    <w:rsid w:val="00FC6807"/>
    <w:rsid w:val="00FF4460"/>
    <w:rsid w:val="3FFF4E6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MT" w:hAnsi="Arial MT" w:eastAsia="Arial MT" w:cs="Arial MT"/>
      <w:sz w:val="22"/>
      <w:szCs w:val="22"/>
      <w:lang w:val="lv" w:eastAsia="en-US" w:bidi="ar-SA"/>
    </w:rPr>
  </w:style>
  <w:style w:type="paragraph" w:styleId="2">
    <w:name w:val="heading 2"/>
    <w:basedOn w:val="1"/>
    <w:next w:val="1"/>
    <w:link w:val="21"/>
    <w:unhideWhenUsed/>
    <w:qFormat/>
    <w:uiPriority w:val="9"/>
    <w:pPr>
      <w:keepNext/>
      <w:keepLines/>
      <w:widowControl/>
      <w:autoSpaceDE/>
      <w:autoSpaceDN/>
      <w:spacing w:before="40" w:line="259" w:lineRule="auto"/>
      <w:outlineLvl w:val="1"/>
    </w:pPr>
    <w:rPr>
      <w:rFonts w:asciiTheme="majorHAnsi" w:hAnsiTheme="majorHAnsi" w:eastAsiaTheme="majorEastAsia" w:cstheme="majorBidi"/>
      <w:color w:val="376092" w:themeColor="accent1" w:themeShade="BF"/>
      <w:sz w:val="26"/>
      <w:szCs w:val="26"/>
      <w:lang w:val="lv"/>
    </w:rPr>
  </w:style>
  <w:style w:type="paragraph" w:styleId="3">
    <w:name w:val="heading 3"/>
    <w:basedOn w:val="1"/>
    <w:next w:val="1"/>
    <w:link w:val="22"/>
    <w:unhideWhenUsed/>
    <w:qFormat/>
    <w:uiPriority w:val="9"/>
    <w:pPr>
      <w:keepNext/>
      <w:keepLines/>
      <w:widowControl/>
      <w:autoSpaceDE/>
      <w:autoSpaceDN/>
      <w:spacing w:before="40" w:line="259" w:lineRule="auto"/>
      <w:outlineLvl w:val="2"/>
    </w:pPr>
    <w:rPr>
      <w:rFonts w:asciiTheme="majorHAnsi" w:hAnsiTheme="majorHAnsi" w:eastAsiaTheme="majorEastAsia" w:cstheme="majorBidi"/>
      <w:color w:val="254061" w:themeColor="accent1" w:themeShade="80"/>
      <w:sz w:val="24"/>
      <w:szCs w:val="24"/>
      <w:lang w:val="lv"/>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11"/>
      <w:szCs w:val="11"/>
    </w:rPr>
  </w:style>
  <w:style w:type="character" w:styleId="7">
    <w:name w:val="FollowedHyperlink"/>
    <w:basedOn w:val="4"/>
    <w:semiHidden/>
    <w:unhideWhenUsed/>
    <w:qFormat/>
    <w:uiPriority w:val="99"/>
    <w:rPr>
      <w:color w:val="800080" w:themeColor="followedHyperlink"/>
      <w:u w:val="single"/>
      <w14:textFill>
        <w14:solidFill>
          <w14:schemeClr w14:val="folHlink"/>
        </w14:solidFill>
      </w14:textFill>
    </w:rPr>
  </w:style>
  <w:style w:type="paragraph" w:styleId="8">
    <w:name w:val="footer"/>
    <w:basedOn w:val="1"/>
    <w:link w:val="19"/>
    <w:unhideWhenUsed/>
    <w:qFormat/>
    <w:uiPriority w:val="99"/>
    <w:pPr>
      <w:tabs>
        <w:tab w:val="center" w:pos="4252"/>
        <w:tab w:val="right" w:pos="8504"/>
      </w:tabs>
    </w:pPr>
  </w:style>
  <w:style w:type="paragraph" w:styleId="9">
    <w:name w:val="header"/>
    <w:basedOn w:val="1"/>
    <w:link w:val="18"/>
    <w:unhideWhenUsed/>
    <w:qFormat/>
    <w:uiPriority w:val="99"/>
    <w:pPr>
      <w:tabs>
        <w:tab w:val="center" w:pos="4252"/>
        <w:tab w:val="right" w:pos="8504"/>
      </w:tabs>
    </w:pPr>
  </w:style>
  <w:style w:type="character" w:styleId="10">
    <w:name w:val="Hyperlink"/>
    <w:basedOn w:val="4"/>
    <w:unhideWhenUsed/>
    <w:qFormat/>
    <w:uiPriority w:val="99"/>
    <w:rPr>
      <w:color w:val="0000FF"/>
      <w:u w:val="single"/>
    </w:rPr>
  </w:style>
  <w:style w:type="paragraph" w:styleId="11">
    <w:name w:val="Normal (Web)"/>
    <w:basedOn w:val="1"/>
    <w:semiHidden/>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val="lv" w:eastAsia="es-ES"/>
    </w:rPr>
  </w:style>
  <w:style w:type="character" w:styleId="12">
    <w:name w:val="Strong"/>
    <w:basedOn w:val="4"/>
    <w:qFormat/>
    <w:uiPriority w:val="22"/>
    <w:rPr>
      <w:b/>
      <w:bCs/>
    </w:rPr>
  </w:style>
  <w:style w:type="table" w:styleId="13">
    <w:name w:val="Table Grid"/>
    <w:basedOn w:val="5"/>
    <w:qFormat/>
    <w:uiPriority w:val="39"/>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qFormat/>
    <w:uiPriority w:val="10"/>
    <w:pPr>
      <w:spacing w:before="99"/>
      <w:ind w:left="3846" w:right="3841"/>
      <w:jc w:val="center"/>
    </w:pPr>
    <w:rPr>
      <w:rFonts w:ascii="Verdana" w:hAnsi="Verdana" w:eastAsia="Verdana" w:cs="Verdana"/>
      <w:sz w:val="21"/>
      <w:szCs w:val="21"/>
    </w:rPr>
  </w:style>
  <w:style w:type="table" w:customStyle="1" w:styleId="15">
    <w:name w:val="Table Normal1"/>
    <w:semiHidden/>
    <w:unhideWhenUsed/>
    <w:qFormat/>
    <w:uiPriority w:val="2"/>
    <w:tblPr>
      <w:tblCellMar>
        <w:top w:w="0" w:type="dxa"/>
        <w:left w:w="0" w:type="dxa"/>
        <w:bottom w:w="0" w:type="dxa"/>
        <w:right w:w="0" w:type="dxa"/>
      </w:tblCellMar>
    </w:tblPr>
  </w:style>
  <w:style w:type="paragraph" w:styleId="16">
    <w:name w:val="List Paragraph"/>
    <w:basedOn w:val="1"/>
    <w:qFormat/>
    <w:uiPriority w:val="34"/>
  </w:style>
  <w:style w:type="paragraph" w:customStyle="1" w:styleId="17">
    <w:name w:val="Table Paragraph"/>
    <w:basedOn w:val="1"/>
    <w:qFormat/>
    <w:uiPriority w:val="1"/>
  </w:style>
  <w:style w:type="character" w:customStyle="1" w:styleId="18">
    <w:name w:val="Encabezado Car"/>
    <w:basedOn w:val="4"/>
    <w:link w:val="9"/>
    <w:qFormat/>
    <w:uiPriority w:val="99"/>
    <w:rPr>
      <w:rFonts w:ascii="Arial MT" w:hAnsi="Arial MT" w:eastAsia="Arial MT" w:cs="Arial MT"/>
    </w:rPr>
  </w:style>
  <w:style w:type="character" w:customStyle="1" w:styleId="19">
    <w:name w:val="Pie de página Car"/>
    <w:basedOn w:val="4"/>
    <w:link w:val="8"/>
    <w:qFormat/>
    <w:uiPriority w:val="99"/>
    <w:rPr>
      <w:rFonts w:ascii="Arial MT" w:hAnsi="Arial MT" w:eastAsia="Arial MT" w:cs="Arial MT"/>
    </w:rPr>
  </w:style>
  <w:style w:type="character" w:customStyle="1" w:styleId="20">
    <w:name w:val="jsgrdq"/>
    <w:basedOn w:val="4"/>
    <w:qFormat/>
    <w:uiPriority w:val="0"/>
  </w:style>
  <w:style w:type="character" w:customStyle="1" w:styleId="21">
    <w:name w:val="Título 2 Car"/>
    <w:basedOn w:val="4"/>
    <w:link w:val="2"/>
    <w:qFormat/>
    <w:uiPriority w:val="9"/>
    <w:rPr>
      <w:rFonts w:asciiTheme="majorHAnsi" w:hAnsiTheme="majorHAnsi" w:eastAsiaTheme="majorEastAsia" w:cstheme="majorBidi"/>
      <w:color w:val="376092" w:themeColor="accent1" w:themeShade="BF"/>
      <w:sz w:val="26"/>
      <w:szCs w:val="26"/>
      <w:lang w:val="lv"/>
    </w:rPr>
  </w:style>
  <w:style w:type="character" w:customStyle="1" w:styleId="22">
    <w:name w:val="Título 3 Car"/>
    <w:basedOn w:val="4"/>
    <w:link w:val="3"/>
    <w:qFormat/>
    <w:uiPriority w:val="9"/>
    <w:rPr>
      <w:rFonts w:asciiTheme="majorHAnsi" w:hAnsiTheme="majorHAnsi" w:eastAsiaTheme="majorEastAsia" w:cstheme="majorBidi"/>
      <w:color w:val="254061" w:themeColor="accent1" w:themeShade="80"/>
      <w:sz w:val="24"/>
      <w:szCs w:val="24"/>
      <w:lang w:val="lv"/>
    </w:rPr>
  </w:style>
  <w:style w:type="paragraph" w:customStyle="1" w:styleId="23">
    <w:name w:val="share-end"/>
    <w:basedOn w:val="1"/>
    <w:qFormat/>
    <w:uiPriority w:val="0"/>
    <w:pPr>
      <w:widowControl/>
      <w:autoSpaceDE/>
      <w:autoSpaceDN/>
      <w:spacing w:before="100" w:beforeAutospacing="1" w:after="100" w:afterAutospacing="1"/>
    </w:pPr>
    <w:rPr>
      <w:rFonts w:ascii="Times New Roman" w:hAnsi="Times New Roman" w:eastAsia="Times New Roman" w:cs="Times New Roman"/>
      <w:sz w:val="24"/>
      <w:szCs w:val="24"/>
      <w:lang w:val="lv" w:eastAsia="es-ES"/>
    </w:rPr>
  </w:style>
  <w:style w:type="character" w:customStyle="1" w:styleId="24">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2608</Words>
  <Characters>14349</Characters>
  <Lines>119</Lines>
  <Paragraphs>33</Paragraphs>
  <TotalTime>64</TotalTime>
  <ScaleCrop>false</ScaleCrop>
  <LinksUpToDate>false</LinksUpToDate>
  <CharactersWithSpaces>16924</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2023-06-15T11:51:00Z</dcterms:created>
  <dc:creator>Monia Coppola</dc:creator>
  <cp:keywords>DAE3HrNhMR8,BAEXurJiHZU</cp:keywords>
  <cp:lastModifiedBy>evalds</cp:lastModifiedBy>
  <dcterms:modified xsi:type="dcterms:W3CDTF">2023-08-28T20:56:46Z</dcterms:modified>
  <dc:title>amtech letterhead</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1033-11.1.0.11704</vt:lpwstr>
  </property>
</Properties>
</file>