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77FD" w14:textId="501C63C0" w:rsidR="0088531C" w:rsidRDefault="0088531C">
      <w:pPr>
        <w:tabs>
          <w:tab w:val="left" w:pos="1145"/>
        </w:tabs>
        <w:ind w:left="1570" w:hanging="425"/>
        <w:jc w:val="center"/>
        <w:rPr>
          <w:rFonts w:ascii="Tahoma" w:eastAsia="Times New Roman" w:hAnsi="Tahoma" w:cs="Tahoma"/>
          <w:b/>
          <w:color w:val="E12227"/>
          <w:sz w:val="40"/>
        </w:rPr>
      </w:pPr>
    </w:p>
    <w:p w14:paraId="6C2B8DAC" w14:textId="77777777" w:rsidR="0088531C" w:rsidRDefault="0088531C">
      <w:pPr>
        <w:tabs>
          <w:tab w:val="left" w:pos="1145"/>
        </w:tabs>
        <w:ind w:left="1570" w:hanging="425"/>
        <w:jc w:val="center"/>
        <w:rPr>
          <w:rFonts w:ascii="Tahoma" w:eastAsia="Times New Roman" w:hAnsi="Tahoma" w:cs="Tahoma"/>
          <w:b/>
          <w:color w:val="E12227"/>
          <w:sz w:val="40"/>
        </w:rPr>
      </w:pPr>
    </w:p>
    <w:p w14:paraId="6282FB4D" w14:textId="63F10A5C" w:rsidR="0088531C" w:rsidRDefault="008D6052">
      <w:pPr>
        <w:pStyle w:val="P68B1DB1-Normal1"/>
        <w:ind w:left="425" w:hanging="425"/>
        <w:jc w:val="center"/>
      </w:pPr>
      <w:r>
        <w:t xml:space="preserve">Ficha de formación </w:t>
      </w:r>
    </w:p>
    <w:p w14:paraId="55EFA35F" w14:textId="77777777" w:rsidR="0088531C" w:rsidRDefault="0088531C">
      <w:pPr>
        <w:ind w:left="1003"/>
        <w:rPr>
          <w:rFonts w:ascii="Times New Roman" w:hAnsi="Times New Roman" w:cs="Calibri"/>
          <w:b/>
          <w:color w:val="266C9F"/>
          <w:sz w:val="44"/>
        </w:rPr>
      </w:pPr>
    </w:p>
    <w:p w14:paraId="655B4AA7" w14:textId="77777777" w:rsidR="0088531C" w:rsidRDefault="0088531C">
      <w:pPr>
        <w:ind w:left="1003"/>
        <w:rPr>
          <w:rFonts w:cs="Times New Roman"/>
        </w:rPr>
      </w:pPr>
    </w:p>
    <w:tbl>
      <w:tblPr>
        <w:tblStyle w:val="Tablaconcuadrcula"/>
        <w:tblW w:w="9345" w:type="dxa"/>
        <w:tblInd w:w="720" w:type="dxa"/>
        <w:tblLayout w:type="fixed"/>
        <w:tblLook w:val="04A0" w:firstRow="1" w:lastRow="0" w:firstColumn="1" w:lastColumn="0" w:noHBand="0" w:noVBand="1"/>
      </w:tblPr>
      <w:tblGrid>
        <w:gridCol w:w="2714"/>
        <w:gridCol w:w="6030"/>
        <w:gridCol w:w="601"/>
      </w:tblGrid>
      <w:tr w:rsidR="0088531C" w14:paraId="27D6C723" w14:textId="77777777">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A4BCC05" w14:textId="77777777" w:rsidR="0088531C" w:rsidRDefault="008D6052">
            <w:pPr>
              <w:pStyle w:val="P68B1DB1-Normal2"/>
            </w:pPr>
            <w:r>
              <w:t>Título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DED679" w14:textId="0707A06B" w:rsidR="0088531C" w:rsidRDefault="008D6052">
            <w:pPr>
              <w:pStyle w:val="P68B1DB1-Normal3"/>
            </w:pPr>
            <w:r>
              <w:t>Recursos para la enseñanza y formación de la educación profesional</w:t>
            </w:r>
          </w:p>
        </w:tc>
      </w:tr>
      <w:tr w:rsidR="0088531C" w14:paraId="5CBA00C0" w14:textId="77777777">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5A241C2" w14:textId="37347A1A" w:rsidR="0088531C" w:rsidRDefault="00A24A51">
            <w:pPr>
              <w:pStyle w:val="P68B1DB1-Normal2"/>
            </w:pPr>
            <w:r>
              <w:t>Palabras clave</w:t>
            </w:r>
            <w:r w:rsidR="008D6052">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C1AA95" w14:textId="1033A7E1" w:rsidR="0088531C" w:rsidRPr="0094773B" w:rsidRDefault="008D6052" w:rsidP="0094773B">
            <w:pPr>
              <w:rPr>
                <w:rFonts w:asciiTheme="minorHAnsi" w:hAnsiTheme="minorHAnsi" w:cstheme="minorHAnsi"/>
              </w:rPr>
            </w:pPr>
            <w:r>
              <w:rPr>
                <w:rFonts w:asciiTheme="minorHAnsi" w:hAnsiTheme="minorHAnsi" w:cstheme="minorHAnsi"/>
              </w:rPr>
              <w:t xml:space="preserve">EQAVET, EQF, CEDEFOP, EURES, EUROPASS, ESCO, microcredenciales, Educación vocacional, </w:t>
            </w:r>
            <w:r>
              <w:rPr>
                <w:rFonts w:asciiTheme="minorHAnsi" w:hAnsiTheme="minorHAnsi" w:cstheme="minorHAnsi"/>
              </w:rPr>
              <w:t>Desarrollo de planes de estudios, Desarrollo de habilidades,</w:t>
            </w:r>
            <w:r w:rsidR="0094773B">
              <w:rPr>
                <w:rFonts w:asciiTheme="minorHAnsi" w:hAnsiTheme="minorHAnsi" w:cstheme="minorHAnsi"/>
              </w:rPr>
              <w:t xml:space="preserve"> </w:t>
            </w:r>
            <w:r>
              <w:t>Cualificaciones profesionales</w:t>
            </w:r>
          </w:p>
        </w:tc>
      </w:tr>
      <w:tr w:rsidR="0088531C" w14:paraId="23BD42C2" w14:textId="77777777">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6BBB1DF" w14:textId="77777777" w:rsidR="0088531C" w:rsidRDefault="008D6052">
            <w:pPr>
              <w:pStyle w:val="P68B1DB1-Normal2"/>
            </w:pPr>
            <w:r>
              <w:t>Proporcionado por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395F9" w14:textId="091563D4" w:rsidR="0088531C" w:rsidRDefault="008D6052">
            <w:pPr>
              <w:pStyle w:val="P68B1DB1-Normal4"/>
            </w:pPr>
            <w:r>
              <w:t>CO-desarrollado por IDP European Consultants &amp; Institut de Haute Formation aux Politiques Communautaires asbl</w:t>
            </w:r>
          </w:p>
        </w:tc>
      </w:tr>
      <w:tr w:rsidR="0088531C" w14:paraId="135B5CF9" w14:textId="77777777">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EB6C307" w14:textId="77777777" w:rsidR="0088531C" w:rsidRDefault="008D6052">
            <w:pPr>
              <w:pStyle w:val="P68B1DB1-Normal2"/>
            </w:pPr>
            <w:r>
              <w:t>Idioma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4A003" w14:textId="3ED95EA7" w:rsidR="0088531C" w:rsidRDefault="0094773B">
            <w:pPr>
              <w:pStyle w:val="P68B1DB1-Normal4"/>
            </w:pPr>
            <w:r>
              <w:t>Castellano</w:t>
            </w:r>
          </w:p>
        </w:tc>
      </w:tr>
      <w:tr w:rsidR="0088531C" w14:paraId="47DE17CE" w14:textId="77777777">
        <w:tc>
          <w:tcPr>
            <w:tcW w:w="2714" w:type="dxa"/>
            <w:tcBorders>
              <w:top w:val="single" w:sz="4" w:space="0" w:color="auto"/>
              <w:left w:val="single" w:sz="4" w:space="0" w:color="auto"/>
              <w:bottom w:val="single" w:sz="4" w:space="0" w:color="auto"/>
              <w:right w:val="single" w:sz="4" w:space="0" w:color="auto"/>
            </w:tcBorders>
            <w:shd w:val="clear" w:color="auto" w:fill="75B239"/>
          </w:tcPr>
          <w:p w14:paraId="08EC3FB4" w14:textId="774EFBC5" w:rsidR="0088531C" w:rsidRDefault="008D6052">
            <w:pPr>
              <w:pStyle w:val="P68B1DB1-Normal2"/>
            </w:pPr>
            <w:r>
              <w:t>Nombre del perfil profesional</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548779" w14:textId="77777777" w:rsidR="0088531C" w:rsidRDefault="0088531C">
            <w:pPr>
              <w:rPr>
                <w:rFonts w:asciiTheme="minorHAnsi" w:hAnsiTheme="minorHAnsi" w:cstheme="minorHAnsi"/>
              </w:rPr>
            </w:pPr>
          </w:p>
        </w:tc>
      </w:tr>
      <w:tr w:rsidR="0088531C" w14:paraId="49A1DB9D" w14:textId="77777777">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2E44146D" w14:textId="14537105" w:rsidR="0088531C" w:rsidRDefault="008D6052">
            <w:pPr>
              <w:pStyle w:val="P68B1DB1-Normal2"/>
            </w:pPr>
            <w:r>
              <w:t>Perfil de los objetivos de cualificación y formación</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0643B" w14:textId="77777777" w:rsidR="0088531C" w:rsidRDefault="0088531C">
            <w:pPr>
              <w:rPr>
                <w:rFonts w:asciiTheme="minorHAnsi" w:hAnsiTheme="minorHAnsi" w:cstheme="minorHAnsi"/>
              </w:rPr>
            </w:pPr>
          </w:p>
        </w:tc>
      </w:tr>
      <w:tr w:rsidR="0088531C" w14:paraId="5169D53A" w14:textId="77777777">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172E801" w14:textId="7D853969" w:rsidR="0088531C" w:rsidRDefault="008D6052">
            <w:pPr>
              <w:pStyle w:val="P68B1DB1-Normal2"/>
            </w:pPr>
            <w:r>
              <w:t>Duración y alcance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B63A1" w14:textId="06E06338" w:rsidR="0088531C" w:rsidRDefault="008D6052">
            <w:pPr>
              <w:pStyle w:val="P68B1DB1-Normal4"/>
            </w:pPr>
            <w:r>
              <w:t>45 minutos</w:t>
            </w:r>
          </w:p>
        </w:tc>
      </w:tr>
      <w:tr w:rsidR="0088531C" w14:paraId="353B1634" w14:textId="77777777">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42605AF" w14:textId="48E988CB" w:rsidR="0088531C" w:rsidRDefault="008D6052">
            <w:pPr>
              <w:pStyle w:val="P68B1DB1-Normal2"/>
            </w:pPr>
            <w:r>
              <w:t>Requisitos de admisión</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4EED5" w14:textId="77777777" w:rsidR="0088531C" w:rsidRDefault="0088531C">
            <w:pPr>
              <w:rPr>
                <w:rFonts w:asciiTheme="minorHAnsi" w:hAnsiTheme="minorHAnsi" w:cstheme="minorHAnsi"/>
              </w:rPr>
            </w:pPr>
          </w:p>
        </w:tc>
      </w:tr>
      <w:tr w:rsidR="0088531C" w14:paraId="387E5F87" w14:textId="77777777">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36CFA4E7" w14:textId="579E719F" w:rsidR="0088531C" w:rsidRDefault="008D6052">
            <w:pPr>
              <w:pStyle w:val="P68B1DB1-Normal2"/>
            </w:pPr>
            <w:r>
              <w:t>Estructura y módulos de formación</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F60DDB" w14:textId="77777777" w:rsidR="0088531C" w:rsidRDefault="0088531C">
            <w:pPr>
              <w:rPr>
                <w:rFonts w:asciiTheme="minorHAnsi" w:hAnsiTheme="minorHAnsi" w:cstheme="minorHAnsi"/>
              </w:rPr>
            </w:pPr>
          </w:p>
        </w:tc>
      </w:tr>
      <w:tr w:rsidR="0088531C" w14:paraId="27ACEA45" w14:textId="77777777">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30A73AE" w14:textId="1C898B29" w:rsidR="0088531C" w:rsidRDefault="008D6052">
            <w:pPr>
              <w:pStyle w:val="P68B1DB1-Normal2"/>
            </w:pPr>
            <w:r>
              <w:t>Objetivos y metas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E7002E" w14:textId="34110F0D" w:rsidR="0088531C" w:rsidRDefault="008D6052">
            <w:pPr>
              <w:pStyle w:val="P68B1DB1-Normal4"/>
            </w:pPr>
            <w:r>
              <w:t xml:space="preserve">Al incorporar los recursos recomendados enumerados en estas unidades de formación, los profesionales (profesores y educadores que operan en el ecosistema de la </w:t>
            </w:r>
            <w:r>
              <w:t>FP) estarán mejor posicionados para proporcionar una formación de alta calidad, ofrecer una mej</w:t>
            </w:r>
            <w:r>
              <w:t>or experiencia de aprendizaje a los estudiantes y aumentar el impacto general de la sesión de formación y educación en general.</w:t>
            </w:r>
          </w:p>
          <w:p w14:paraId="46FEDB53" w14:textId="77777777" w:rsidR="0088531C" w:rsidRDefault="0088531C">
            <w:pPr>
              <w:rPr>
                <w:rFonts w:asciiTheme="minorHAnsi" w:hAnsiTheme="minorHAnsi" w:cstheme="minorHAnsi"/>
              </w:rPr>
            </w:pPr>
          </w:p>
          <w:p w14:paraId="3CA6B472" w14:textId="77777777" w:rsidR="0088531C" w:rsidRDefault="008D6052">
            <w:pPr>
              <w:pStyle w:val="P68B1DB1-Normal4"/>
            </w:pPr>
            <w:r>
              <w:t>Las directrices y principios aquí recomendados se aplican de forma independiente al contenido específico y técnico de la formac</w:t>
            </w:r>
            <w:r>
              <w:t>ión, y se aplican transversalmente para alcanzar el nivel normalizado de normas educativas en toda Europa y los campos de formación.</w:t>
            </w:r>
          </w:p>
          <w:p w14:paraId="6226CE14" w14:textId="77777777" w:rsidR="0088531C" w:rsidRDefault="0088531C">
            <w:pPr>
              <w:rPr>
                <w:rFonts w:asciiTheme="minorHAnsi" w:hAnsiTheme="minorHAnsi" w:cstheme="minorHAnsi"/>
              </w:rPr>
            </w:pPr>
          </w:p>
          <w:p w14:paraId="17B8CD69" w14:textId="62654577" w:rsidR="0088531C" w:rsidRDefault="008D6052">
            <w:pPr>
              <w:pStyle w:val="P68B1DB1-Normal4"/>
            </w:pPr>
            <w:r>
              <w:t>Los usuarios pueden obtener grandes beneficios de su aplicación, y definitivamente pueden replicar su implementación de im</w:t>
            </w:r>
            <w:r>
              <w:t>plementación y práctica, independientemente del contexto subyacente.</w:t>
            </w:r>
          </w:p>
        </w:tc>
      </w:tr>
      <w:tr w:rsidR="0088531C" w14:paraId="471FD425" w14:textId="77777777">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FA42A97" w14:textId="77777777" w:rsidR="0088531C" w:rsidRDefault="008D6052">
            <w:pPr>
              <w:pStyle w:val="P68B1DB1-Normal2"/>
            </w:pPr>
            <w:r>
              <w:t>Resultados del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02AE4F" w14:textId="4B3C573C" w:rsidR="0088531C" w:rsidRDefault="008D6052">
            <w:pPr>
              <w:pStyle w:val="P68B1DB1-Normal4"/>
            </w:pPr>
            <w:r>
              <w:t>Los principales resultados de aprendizaje de este módulo de formación son:</w:t>
            </w:r>
          </w:p>
          <w:p w14:paraId="64EB71F6" w14:textId="377FCA0D" w:rsidR="0088531C" w:rsidRDefault="0088531C">
            <w:pPr>
              <w:rPr>
                <w:rFonts w:asciiTheme="minorHAnsi" w:hAnsiTheme="minorHAnsi" w:cstheme="minorHAnsi"/>
              </w:rPr>
            </w:pPr>
          </w:p>
          <w:p w14:paraId="5F22CA59" w14:textId="62A6561E" w:rsidR="0088531C" w:rsidRDefault="008D6052">
            <w:pPr>
              <w:pStyle w:val="P68B1DB1-Prrafodelista5"/>
              <w:numPr>
                <w:ilvl w:val="0"/>
                <w:numId w:val="5"/>
              </w:numPr>
            </w:pPr>
            <w:r>
              <w:t>Conocimiento de los recursos recomendados</w:t>
            </w:r>
          </w:p>
          <w:p w14:paraId="6F0F694F" w14:textId="0A3A633E" w:rsidR="0088531C" w:rsidRDefault="008D6052">
            <w:pPr>
              <w:pStyle w:val="P68B1DB1-Prrafodelista5"/>
              <w:numPr>
                <w:ilvl w:val="0"/>
                <w:numId w:val="5"/>
              </w:numPr>
            </w:pPr>
            <w:r>
              <w:t>Mejora de las habilidades de enseñanza y formación</w:t>
            </w:r>
          </w:p>
          <w:p w14:paraId="0A1C86C2" w14:textId="0B43999D" w:rsidR="0088531C" w:rsidRDefault="008D6052">
            <w:pPr>
              <w:pStyle w:val="P68B1DB1-Prrafodelista5"/>
              <w:numPr>
                <w:ilvl w:val="0"/>
                <w:numId w:val="5"/>
              </w:numPr>
            </w:pPr>
            <w:r>
              <w:t xml:space="preserve">Mejora de la calidad de la formación </w:t>
            </w:r>
          </w:p>
          <w:p w14:paraId="28A3EA26" w14:textId="648944BB" w:rsidR="0088531C" w:rsidRDefault="008D6052">
            <w:pPr>
              <w:pStyle w:val="P68B1DB1-Prrafodelista5"/>
              <w:numPr>
                <w:ilvl w:val="0"/>
                <w:numId w:val="5"/>
              </w:numPr>
            </w:pPr>
            <w:r>
              <w:lastRenderedPageBreak/>
              <w:t xml:space="preserve">Experiencia de aprendizaje mejorada  </w:t>
            </w:r>
          </w:p>
          <w:p w14:paraId="202D7A5A" w14:textId="4E33C226" w:rsidR="0088531C" w:rsidRDefault="008D6052">
            <w:pPr>
              <w:pStyle w:val="P68B1DB1-Prrafodelista5"/>
              <w:numPr>
                <w:ilvl w:val="0"/>
                <w:numId w:val="5"/>
              </w:numPr>
            </w:pPr>
            <w:r>
              <w:t>Aplicación de directrices y principios</w:t>
            </w:r>
          </w:p>
          <w:p w14:paraId="3335C6E4" w14:textId="7593B980" w:rsidR="0088531C" w:rsidRDefault="008D6052">
            <w:pPr>
              <w:pStyle w:val="P68B1DB1-Prrafodelista5"/>
              <w:numPr>
                <w:ilvl w:val="0"/>
                <w:numId w:val="5"/>
              </w:numPr>
            </w:pPr>
            <w:r>
              <w:t>Adaptabilidad y replicación</w:t>
            </w:r>
          </w:p>
          <w:p w14:paraId="16595165" w14:textId="05BCC7EE" w:rsidR="0088531C" w:rsidRDefault="008D6052">
            <w:pPr>
              <w:pStyle w:val="P68B1DB1-Prrafodelista5"/>
              <w:numPr>
                <w:ilvl w:val="0"/>
                <w:numId w:val="5"/>
              </w:numPr>
            </w:pPr>
            <w:r>
              <w:t>Selección efectiva de recursos</w:t>
            </w:r>
          </w:p>
          <w:p w14:paraId="7348B39F" w14:textId="364EA078" w:rsidR="0088531C" w:rsidRDefault="008D6052">
            <w:pPr>
              <w:pStyle w:val="P68B1DB1-Normal4"/>
              <w:numPr>
                <w:ilvl w:val="0"/>
                <w:numId w:val="5"/>
              </w:numPr>
            </w:pPr>
            <w:r>
              <w:t>Desarrollo Profesional Continuo</w:t>
            </w:r>
          </w:p>
        </w:tc>
      </w:tr>
      <w:tr w:rsidR="0088531C" w14:paraId="692F472F" w14:textId="77777777">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75B239"/>
            <w:vAlign w:val="center"/>
          </w:tcPr>
          <w:p w14:paraId="2B1A732C" w14:textId="6EF2824D" w:rsidR="0088531C" w:rsidRDefault="008D6052">
            <w:pPr>
              <w:pStyle w:val="P68B1DB1-Normal2"/>
              <w:textAlignment w:val="baseline"/>
            </w:pPr>
            <w:r>
              <w:lastRenderedPageBreak/>
              <w:t>Campo de aprendizaje</w:t>
            </w:r>
          </w:p>
          <w:p w14:paraId="30C12FC2" w14:textId="77777777" w:rsidR="0088531C" w:rsidRDefault="0088531C">
            <w:pPr>
              <w:textAlignment w:val="baseline"/>
              <w:rPr>
                <w:rFonts w:asciiTheme="minorHAnsi" w:hAnsiTheme="minorHAnsi" w:cstheme="minorHAnsi"/>
                <w:b/>
                <w:color w:val="FFFFFF" w:themeColor="background1"/>
                <w:sz w:val="24"/>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1F7F8" w14:textId="14A15E7D" w:rsidR="0088531C" w:rsidRDefault="008D6052">
            <w:pPr>
              <w:pStyle w:val="P68B1DB1-Prrafodelista5"/>
            </w:pPr>
            <w:r>
              <w:t xml:space="preserve">   Recursos de formación profesional</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29A2E4C6" w14:textId="77777777" w:rsidR="0088531C" w:rsidRDefault="008D6052">
            <w:pPr>
              <w:pStyle w:val="P68B1DB1-Normal4"/>
              <w:tabs>
                <w:tab w:val="center" w:pos="759"/>
              </w:tabs>
            </w:pPr>
            <w:r>
              <w:tab/>
            </w:r>
          </w:p>
        </w:tc>
      </w:tr>
      <w:tr w:rsidR="0088531C" w14:paraId="346A3805" w14:textId="77777777">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55CACC4F" w14:textId="77777777" w:rsidR="0088531C" w:rsidRDefault="0088531C">
            <w:pPr>
              <w:rPr>
                <w:rFonts w:asciiTheme="minorHAnsi" w:eastAsia="Times New Roman" w:hAnsiTheme="minorHAnsi" w:cstheme="minorHAnsi"/>
                <w:b/>
                <w:color w:val="FFFFFF" w:themeColor="background1"/>
                <w:sz w:val="24"/>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CE4AA" w14:textId="02A4B056" w:rsidR="0088531C" w:rsidRDefault="008D6052">
            <w:pPr>
              <w:pStyle w:val="P68B1DB1-Prrafodelista5"/>
            </w:pPr>
            <w: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69AD3229" w14:textId="77777777" w:rsidR="0088531C" w:rsidRDefault="0088531C">
            <w:pPr>
              <w:tabs>
                <w:tab w:val="center" w:pos="759"/>
              </w:tabs>
              <w:rPr>
                <w:rFonts w:asciiTheme="minorHAnsi" w:hAnsiTheme="minorHAnsi" w:cstheme="minorHAnsi"/>
              </w:rPr>
            </w:pPr>
          </w:p>
        </w:tc>
      </w:tr>
      <w:tr w:rsidR="0088531C" w14:paraId="7F0ED374" w14:textId="77777777">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69F3EB96" w14:textId="77777777" w:rsidR="0088531C" w:rsidRDefault="0088531C">
            <w:pPr>
              <w:rPr>
                <w:rFonts w:asciiTheme="minorHAnsi" w:eastAsia="Times New Roman" w:hAnsiTheme="minorHAnsi" w:cstheme="minorHAnsi"/>
                <w:b/>
                <w:color w:val="FFFFFF" w:themeColor="background1"/>
                <w:sz w:val="24"/>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1B62E" w14:textId="3B5A56F9" w:rsidR="0088531C" w:rsidRDefault="008D6052">
            <w:pPr>
              <w:pStyle w:val="P68B1DB1-Prrafodelista5"/>
            </w:pPr>
            <w: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4FD6D0A3" w14:textId="77777777" w:rsidR="0088531C" w:rsidRDefault="0088531C">
            <w:pPr>
              <w:rPr>
                <w:rFonts w:asciiTheme="minorHAnsi" w:hAnsiTheme="minorHAnsi" w:cstheme="minorHAnsi"/>
              </w:rPr>
            </w:pPr>
          </w:p>
        </w:tc>
      </w:tr>
      <w:tr w:rsidR="0088531C" w14:paraId="5436E6BA" w14:textId="77777777">
        <w:trPr>
          <w:trHeight w:val="702"/>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6D30BF6" w14:textId="77777777" w:rsidR="0088531C" w:rsidRDefault="008D6052">
            <w:pPr>
              <w:pStyle w:val="P68B1DB1-Normal2"/>
            </w:pPr>
            <w:r>
              <w:t>Índice de contenido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5A8C0" w14:textId="065568FD" w:rsidR="0088531C" w:rsidRDefault="008D6052">
            <w:pPr>
              <w:pStyle w:val="P68B1DB1-Normal4"/>
              <w:rPr>
                <w:b/>
                <w:i/>
              </w:rPr>
            </w:pPr>
            <w:r>
              <w:t xml:space="preserve">Módulo: </w:t>
            </w:r>
            <w:r>
              <w:rPr>
                <w:b/>
                <w:i/>
              </w:rPr>
              <w:t>Recursos para la enseñanza y formación de la educación profesional</w:t>
            </w:r>
          </w:p>
          <w:p w14:paraId="392BAE7F" w14:textId="77777777" w:rsidR="0088531C" w:rsidRDefault="0088531C">
            <w:pPr>
              <w:rPr>
                <w:rFonts w:asciiTheme="minorHAnsi" w:hAnsiTheme="minorHAnsi" w:cstheme="minorHAnsi"/>
                <w:b/>
                <w:i/>
              </w:rPr>
            </w:pPr>
          </w:p>
          <w:p w14:paraId="56478E0A" w14:textId="77777777" w:rsidR="0088531C" w:rsidRDefault="0088531C">
            <w:pPr>
              <w:rPr>
                <w:rFonts w:asciiTheme="minorHAnsi" w:hAnsiTheme="minorHAnsi" w:cstheme="minorHAnsi"/>
                <w:b/>
                <w:i/>
              </w:rPr>
            </w:pPr>
          </w:p>
          <w:p w14:paraId="0CFE9C6A" w14:textId="5E1F564C" w:rsidR="0088531C" w:rsidRDefault="008D6052">
            <w:pPr>
              <w:pStyle w:val="P68B1DB1-Prrafodelista6"/>
              <w:numPr>
                <w:ilvl w:val="0"/>
                <w:numId w:val="1"/>
              </w:numPr>
              <w:spacing w:after="160" w:line="259" w:lineRule="auto"/>
              <w:contextualSpacing/>
            </w:pPr>
            <w:r>
              <w:t>Unidad 1: EQAVET</w:t>
            </w:r>
          </w:p>
          <w:p w14:paraId="7145A54D" w14:textId="77777777" w:rsidR="0088531C" w:rsidRDefault="008D6052">
            <w:pPr>
              <w:pStyle w:val="P68B1DB1-Prrafodelista5"/>
              <w:numPr>
                <w:ilvl w:val="0"/>
                <w:numId w:val="9"/>
              </w:numPr>
              <w:spacing w:after="160" w:line="259" w:lineRule="auto"/>
              <w:ind w:left="1139"/>
              <w:contextualSpacing/>
            </w:pPr>
            <w:r>
              <w:t>Sección 1.1: Marco de garantía de calidad para la prestación de EFP</w:t>
            </w:r>
          </w:p>
          <w:p w14:paraId="3E3B771B" w14:textId="72D8EC77" w:rsidR="0088531C" w:rsidRDefault="008D6052">
            <w:pPr>
              <w:pStyle w:val="P68B1DB1-Prrafodelista6"/>
              <w:numPr>
                <w:ilvl w:val="0"/>
                <w:numId w:val="1"/>
              </w:numPr>
              <w:spacing w:after="160" w:line="259" w:lineRule="auto"/>
              <w:contextualSpacing/>
            </w:pPr>
            <w:r>
              <w:t>Unidad 2: MEC</w:t>
            </w:r>
          </w:p>
          <w:p w14:paraId="765D16C9" w14:textId="77777777" w:rsidR="0088531C" w:rsidRDefault="008D6052">
            <w:pPr>
              <w:pStyle w:val="P68B1DB1-Prrafodelista5"/>
              <w:numPr>
                <w:ilvl w:val="0"/>
                <w:numId w:val="10"/>
              </w:numPr>
              <w:spacing w:after="160" w:line="259" w:lineRule="auto"/>
              <w:ind w:left="1139"/>
              <w:contextualSpacing/>
            </w:pPr>
            <w:r>
              <w:t>Sección 2.1: Marco Europeo de Cualificación</w:t>
            </w:r>
          </w:p>
          <w:p w14:paraId="15101D98" w14:textId="77777777" w:rsidR="0088531C" w:rsidRDefault="008D6052">
            <w:pPr>
              <w:pStyle w:val="P68B1DB1-Prrafodelista6"/>
              <w:numPr>
                <w:ilvl w:val="0"/>
                <w:numId w:val="1"/>
              </w:numPr>
              <w:spacing w:after="160" w:line="259" w:lineRule="auto"/>
              <w:contextualSpacing/>
            </w:pPr>
            <w:r>
              <w:t>Unidad 3: Cedefop — Centro de la UE para el desarrollo de la EFP</w:t>
            </w:r>
          </w:p>
          <w:p w14:paraId="6DEF800A" w14:textId="77777777" w:rsidR="0088531C" w:rsidRDefault="008D6052">
            <w:pPr>
              <w:pStyle w:val="P68B1DB1-Prrafodelista5"/>
              <w:numPr>
                <w:ilvl w:val="0"/>
                <w:numId w:val="11"/>
              </w:numPr>
              <w:spacing w:after="160" w:line="259" w:lineRule="auto"/>
              <w:ind w:left="1139"/>
              <w:contextualSpacing/>
            </w:pPr>
            <w:r>
              <w:t>Sección 3.1: La base de datos de referencia para la educación y la formación profesionales</w:t>
            </w:r>
          </w:p>
          <w:p w14:paraId="5F9217E8" w14:textId="77777777" w:rsidR="0088531C" w:rsidRDefault="008D6052">
            <w:pPr>
              <w:pStyle w:val="P68B1DB1-Prrafodelista6"/>
              <w:numPr>
                <w:ilvl w:val="0"/>
                <w:numId w:val="1"/>
              </w:numPr>
              <w:spacing w:after="160" w:line="259" w:lineRule="auto"/>
              <w:contextualSpacing/>
            </w:pPr>
            <w:r>
              <w:t>Unidad 4: EURES — Red de cooperación de la UE para el empleo</w:t>
            </w:r>
          </w:p>
          <w:p w14:paraId="5D78EFDA" w14:textId="77777777" w:rsidR="0088531C" w:rsidRDefault="008D6052">
            <w:pPr>
              <w:pStyle w:val="P68B1DB1-Prrafodelista5"/>
              <w:numPr>
                <w:ilvl w:val="0"/>
                <w:numId w:val="12"/>
              </w:numPr>
              <w:spacing w:after="160" w:line="259" w:lineRule="auto"/>
              <w:ind w:left="1281"/>
              <w:contextualSpacing/>
            </w:pPr>
            <w:r>
              <w:t>Sección 4.1: Facilitar la libre circula</w:t>
            </w:r>
            <w:r>
              <w:t>ción de los trabajadores</w:t>
            </w:r>
          </w:p>
          <w:p w14:paraId="2018F9FA" w14:textId="7575C7D0" w:rsidR="0088531C" w:rsidRDefault="008D6052">
            <w:pPr>
              <w:pStyle w:val="P68B1DB1-Prrafodelista6"/>
              <w:numPr>
                <w:ilvl w:val="0"/>
                <w:numId w:val="1"/>
              </w:numPr>
              <w:spacing w:after="160" w:line="259" w:lineRule="auto"/>
              <w:contextualSpacing/>
            </w:pPr>
            <w:r>
              <w:t>Unidad 5: Europass — Aprender y trabajar en la UE</w:t>
            </w:r>
          </w:p>
          <w:p w14:paraId="010EF572" w14:textId="77777777" w:rsidR="0088531C" w:rsidRDefault="008D6052">
            <w:pPr>
              <w:pStyle w:val="P68B1DB1-Prrafodelista5"/>
              <w:numPr>
                <w:ilvl w:val="0"/>
                <w:numId w:val="13"/>
              </w:numPr>
              <w:spacing w:after="160" w:line="259" w:lineRule="auto"/>
              <w:ind w:left="1281"/>
              <w:contextualSpacing/>
            </w:pPr>
            <w:r>
              <w:t>Sección 5.1: El uso de EUROPASS para los proveedores de EFP</w:t>
            </w:r>
          </w:p>
          <w:p w14:paraId="055D08FB" w14:textId="77777777" w:rsidR="0088531C" w:rsidRDefault="008D6052">
            <w:pPr>
              <w:pStyle w:val="P68B1DB1-Prrafodelista6"/>
              <w:numPr>
                <w:ilvl w:val="0"/>
                <w:numId w:val="1"/>
              </w:numPr>
              <w:spacing w:after="160" w:line="259" w:lineRule="auto"/>
              <w:contextualSpacing/>
            </w:pPr>
            <w:r>
              <w:t>Unidad 6: Capacidades, competencias, cualificaciones y ocupaciones de la UE</w:t>
            </w:r>
          </w:p>
          <w:p w14:paraId="2FEEF053" w14:textId="77777777" w:rsidR="0088531C" w:rsidRDefault="008D6052">
            <w:pPr>
              <w:pStyle w:val="P68B1DB1-Prrafodelista5"/>
              <w:numPr>
                <w:ilvl w:val="0"/>
                <w:numId w:val="14"/>
              </w:numPr>
              <w:spacing w:after="160" w:line="259" w:lineRule="auto"/>
              <w:ind w:left="1281"/>
              <w:contextualSpacing/>
            </w:pPr>
            <w:r>
              <w:t>Sección 6.1: El marco de la ESCO</w:t>
            </w:r>
          </w:p>
          <w:p w14:paraId="1D8AA45A" w14:textId="77777777" w:rsidR="0088531C" w:rsidRDefault="008D6052">
            <w:pPr>
              <w:pStyle w:val="P68B1DB1-Prrafodelista6"/>
              <w:numPr>
                <w:ilvl w:val="0"/>
                <w:numId w:val="1"/>
              </w:numPr>
              <w:spacing w:after="160" w:line="259" w:lineRule="auto"/>
              <w:contextualSpacing/>
            </w:pPr>
            <w:r>
              <w:t>Unidad 7: Mi</w:t>
            </w:r>
            <w:r>
              <w:t xml:space="preserve">crocredenciales </w:t>
            </w:r>
          </w:p>
          <w:p w14:paraId="0567C310" w14:textId="77777777" w:rsidR="0088531C" w:rsidRDefault="008D6052">
            <w:pPr>
              <w:pStyle w:val="P68B1DB1-Prrafodelista5"/>
              <w:numPr>
                <w:ilvl w:val="0"/>
                <w:numId w:val="15"/>
              </w:numPr>
              <w:spacing w:after="160" w:line="259" w:lineRule="auto"/>
              <w:ind w:left="1281"/>
              <w:contextualSpacing/>
            </w:pPr>
            <w:r>
              <w:t>Sección 7.1: La nueva «gran cosa» del ecosistema de educación y formación</w:t>
            </w:r>
          </w:p>
          <w:p w14:paraId="66389D93" w14:textId="77777777" w:rsidR="0088531C" w:rsidRDefault="0088531C">
            <w:pPr>
              <w:pStyle w:val="Prrafodelista"/>
              <w:spacing w:after="160" w:line="259" w:lineRule="auto"/>
              <w:ind w:left="1560"/>
              <w:contextualSpacing/>
              <w:rPr>
                <w:rFonts w:asciiTheme="minorHAnsi" w:hAnsiTheme="minorHAnsi" w:cstheme="minorHAnsi"/>
                <w:b/>
              </w:rPr>
            </w:pPr>
          </w:p>
          <w:p w14:paraId="60C72DDA" w14:textId="77777777" w:rsidR="0088531C" w:rsidRDefault="0088531C">
            <w:pPr>
              <w:spacing w:after="160" w:line="259" w:lineRule="auto"/>
              <w:contextualSpacing/>
              <w:rPr>
                <w:rFonts w:asciiTheme="minorHAnsi" w:hAnsiTheme="minorHAnsi" w:cstheme="minorHAnsi"/>
              </w:rPr>
            </w:pPr>
          </w:p>
        </w:tc>
      </w:tr>
      <w:tr w:rsidR="0088531C" w14:paraId="0A38E335" w14:textId="77777777">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593E41F0" w14:textId="77777777" w:rsidR="0088531C" w:rsidRDefault="008D6052">
            <w:pPr>
              <w:pStyle w:val="P68B1DB1-Normal2"/>
            </w:pPr>
            <w:r>
              <w:lastRenderedPageBreak/>
              <w:t>Desarrollo de contenidos </w:t>
            </w:r>
          </w:p>
        </w:tc>
        <w:tc>
          <w:tcPr>
            <w:tcW w:w="6631" w:type="dxa"/>
            <w:gridSpan w:val="2"/>
            <w:tcBorders>
              <w:top w:val="single" w:sz="4" w:space="0" w:color="auto"/>
              <w:left w:val="single" w:sz="4" w:space="0" w:color="auto"/>
              <w:bottom w:val="single" w:sz="4" w:space="0" w:color="auto"/>
              <w:right w:val="single" w:sz="4" w:space="0" w:color="auto"/>
            </w:tcBorders>
          </w:tcPr>
          <w:p w14:paraId="2E865BD3" w14:textId="6096D67C" w:rsidR="0088531C" w:rsidRDefault="008D6052">
            <w:pPr>
              <w:pStyle w:val="P68B1DB1-Normal7"/>
              <w:jc w:val="both"/>
              <w:rPr>
                <w:rFonts w:asciiTheme="minorHAnsi" w:hAnsiTheme="minorHAnsi" w:cstheme="minorHAnsi"/>
              </w:rPr>
            </w:pPr>
            <w:bookmarkStart w:id="0" w:name="_Toc136951774"/>
            <w:r>
              <w:rPr>
                <w:rFonts w:asciiTheme="minorHAnsi" w:eastAsia="Times New Roman" w:hAnsiTheme="minorHAnsi" w:cstheme="minorHAnsi"/>
                <w:shd w:val="clear" w:color="auto" w:fill="FFFFFF"/>
              </w:rPr>
              <w:t xml:space="preserve">Unidad 1: </w:t>
            </w:r>
            <w:bookmarkEnd w:id="0"/>
            <w:r>
              <w:rPr>
                <w:rFonts w:asciiTheme="minorHAnsi" w:hAnsiTheme="minorHAnsi" w:cstheme="minorHAnsi"/>
              </w:rPr>
              <w:t>EQAVET</w:t>
            </w:r>
          </w:p>
          <w:p w14:paraId="15AF2BEA" w14:textId="77777777" w:rsidR="0088531C" w:rsidRDefault="0088531C">
            <w:pPr>
              <w:jc w:val="both"/>
              <w:rPr>
                <w:rFonts w:asciiTheme="minorHAnsi" w:hAnsiTheme="minorHAnsi" w:cstheme="minorHAnsi"/>
                <w:b/>
              </w:rPr>
            </w:pPr>
          </w:p>
          <w:p w14:paraId="4998AD05" w14:textId="77777777" w:rsidR="0088531C" w:rsidRDefault="008D6052">
            <w:pPr>
              <w:pStyle w:val="P68B1DB1-Ttulo38"/>
              <w:numPr>
                <w:ilvl w:val="0"/>
                <w:numId w:val="8"/>
              </w:numPr>
              <w:jc w:val="both"/>
            </w:pPr>
            <w:bookmarkStart w:id="1" w:name="_Toc136951775"/>
            <w:r>
              <w:t>Sección 1.1: Marco de garantía de calidad para la prestación de EFP</w:t>
            </w:r>
          </w:p>
          <w:bookmarkEnd w:id="1"/>
          <w:p w14:paraId="2E6E04DB" w14:textId="77777777" w:rsidR="0088531C" w:rsidRDefault="0088531C">
            <w:pPr>
              <w:jc w:val="both"/>
              <w:rPr>
                <w:rFonts w:asciiTheme="minorHAnsi" w:hAnsiTheme="minorHAnsi" w:cstheme="minorHAnsi"/>
              </w:rPr>
            </w:pPr>
          </w:p>
          <w:p w14:paraId="2C8C3B8D" w14:textId="77777777" w:rsidR="0088531C" w:rsidRDefault="008D6052">
            <w:pPr>
              <w:pStyle w:val="P68B1DB1-Normal4"/>
              <w:jc w:val="both"/>
            </w:pPr>
            <w:r>
              <w:t>El Marco de Referencia Europeo de Garantía de la Calidad para la Educación y la Formación Profesionales (EQAVET) es el marco estándar a escala de la UE para apoyar y reforzar los mecanismos de control de calidad en la oferta de EFP.</w:t>
            </w:r>
          </w:p>
          <w:p w14:paraId="1AD55AB4" w14:textId="77777777" w:rsidR="0088531C" w:rsidRDefault="008D6052">
            <w:pPr>
              <w:pStyle w:val="P68B1DB1-Normal4"/>
              <w:jc w:val="both"/>
            </w:pPr>
            <w:r>
              <w:t>El marco EQAVET se insp</w:t>
            </w:r>
            <w:r>
              <w:t>ira en el ciclo tradicional DEMING (planificación → implementación → comprobación → revisión → planificación → etc.).</w:t>
            </w:r>
          </w:p>
          <w:p w14:paraId="06057400" w14:textId="443900C6" w:rsidR="0088531C" w:rsidRDefault="008D6052">
            <w:pPr>
              <w:pStyle w:val="P68B1DB1-Normal4"/>
              <w:jc w:val="both"/>
            </w:pPr>
            <w:r>
              <w:t>Los usos y la aplicación del EQAVET son muchos y diversos, el marco mantiene su relevancia en todos los entornos típicos en los que:</w:t>
            </w:r>
          </w:p>
          <w:p w14:paraId="59DF8312" w14:textId="77777777" w:rsidR="0088531C" w:rsidRDefault="0088531C">
            <w:pPr>
              <w:jc w:val="both"/>
              <w:rPr>
                <w:rFonts w:asciiTheme="minorHAnsi" w:hAnsiTheme="minorHAnsi" w:cstheme="minorHAnsi"/>
              </w:rPr>
            </w:pPr>
          </w:p>
          <w:p w14:paraId="1A3FD7DA" w14:textId="77777777" w:rsidR="0088531C" w:rsidRDefault="008D6052">
            <w:pPr>
              <w:pStyle w:val="P68B1DB1-Normal4"/>
              <w:numPr>
                <w:ilvl w:val="0"/>
                <w:numId w:val="8"/>
              </w:numPr>
              <w:jc w:val="both"/>
            </w:pPr>
            <w:r>
              <w:t>Se d</w:t>
            </w:r>
            <w:r>
              <w:t>iseñan nuevos programas/procedimientos de EFP</w:t>
            </w:r>
          </w:p>
          <w:p w14:paraId="1E489459" w14:textId="77777777" w:rsidR="0088531C" w:rsidRDefault="008D6052">
            <w:pPr>
              <w:pStyle w:val="P68B1DB1-Normal4"/>
              <w:numPr>
                <w:ilvl w:val="0"/>
                <w:numId w:val="8"/>
              </w:numPr>
              <w:jc w:val="both"/>
            </w:pPr>
            <w:r>
              <w:t>Se revisan o actualizan los programas/procedimientos de EFP existentes</w:t>
            </w:r>
          </w:p>
          <w:p w14:paraId="616FDF1D" w14:textId="588DD091" w:rsidR="0088531C" w:rsidRDefault="008D6052">
            <w:pPr>
              <w:pStyle w:val="P68B1DB1-Normal4"/>
              <w:numPr>
                <w:ilvl w:val="0"/>
                <w:numId w:val="8"/>
              </w:numPr>
              <w:jc w:val="both"/>
            </w:pPr>
            <w:r>
              <w:t>Los programas/procedimientos de EFP bien establecidos son monitoreados y evaluados en lo que respecta a su eficacia y el impacto logrado ha</w:t>
            </w:r>
            <w:r>
              <w:t>sta ese momento.</w:t>
            </w:r>
          </w:p>
          <w:p w14:paraId="53872FFA" w14:textId="044879D8" w:rsidR="0088531C" w:rsidRDefault="0088531C">
            <w:pPr>
              <w:jc w:val="both"/>
              <w:rPr>
                <w:rFonts w:asciiTheme="minorHAnsi" w:hAnsiTheme="minorHAnsi" w:cstheme="minorHAnsi"/>
              </w:rPr>
            </w:pPr>
          </w:p>
          <w:p w14:paraId="6B76F5C9" w14:textId="516D5EDD" w:rsidR="0088531C" w:rsidRDefault="008D6052">
            <w:pPr>
              <w:pStyle w:val="P68B1DB1-Normal4"/>
              <w:jc w:val="both"/>
            </w:pPr>
            <w:r>
              <w:rPr>
                <w:noProof/>
              </w:rPr>
              <w:drawing>
                <wp:inline distT="0" distB="0" distL="0" distR="0" wp14:anchorId="3F909DE6" wp14:editId="2A065EBE">
                  <wp:extent cx="4073525" cy="2016760"/>
                  <wp:effectExtent l="0" t="0" r="317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3525" cy="2016760"/>
                          </a:xfrm>
                          <a:prstGeom prst="rect">
                            <a:avLst/>
                          </a:prstGeom>
                        </pic:spPr>
                      </pic:pic>
                    </a:graphicData>
                  </a:graphic>
                </wp:inline>
              </w:drawing>
            </w:r>
          </w:p>
          <w:p w14:paraId="6BDD14D5" w14:textId="219D4900" w:rsidR="0088531C" w:rsidRDefault="0088531C">
            <w:pPr>
              <w:jc w:val="both"/>
              <w:rPr>
                <w:rFonts w:asciiTheme="minorHAnsi" w:hAnsiTheme="minorHAnsi" w:cstheme="minorHAnsi"/>
              </w:rPr>
            </w:pPr>
          </w:p>
          <w:p w14:paraId="527E5C8C" w14:textId="2C57FF9A" w:rsidR="0088531C" w:rsidRDefault="008D6052">
            <w:pPr>
              <w:pStyle w:val="P68B1DB1-Normal9"/>
              <w:jc w:val="both"/>
            </w:pPr>
            <w:r>
              <w:t>Una dimensión de aplicación doble</w:t>
            </w:r>
          </w:p>
          <w:p w14:paraId="46F57F07" w14:textId="77777777" w:rsidR="0088531C" w:rsidRDefault="0088531C">
            <w:pPr>
              <w:jc w:val="both"/>
              <w:rPr>
                <w:rFonts w:asciiTheme="minorHAnsi" w:hAnsiTheme="minorHAnsi" w:cstheme="minorHAnsi"/>
              </w:rPr>
            </w:pPr>
          </w:p>
          <w:p w14:paraId="51389867" w14:textId="77777777" w:rsidR="0088531C" w:rsidRDefault="008D6052">
            <w:pPr>
              <w:pStyle w:val="P68B1DB1-Normal10"/>
              <w:jc w:val="both"/>
            </w:pPr>
            <w:r>
              <w:t>Nivel del sistema</w:t>
            </w:r>
          </w:p>
          <w:p w14:paraId="033B8874" w14:textId="77777777" w:rsidR="0088531C" w:rsidRDefault="008D6052">
            <w:pPr>
              <w:pStyle w:val="P68B1DB1-Normal4"/>
              <w:jc w:val="both"/>
            </w:pPr>
            <w:r>
              <w:t>La aplicación a nivel del sistema del marco EQAVET ayuda a los Estados miembros y a las autoridades regionales a comprender mejor la calidad y el impacto efectivos de sus sistemas de</w:t>
            </w:r>
            <w:r>
              <w:t xml:space="preserve"> EFP. </w:t>
            </w:r>
          </w:p>
          <w:p w14:paraId="1DEE863C" w14:textId="77777777" w:rsidR="0088531C" w:rsidRDefault="008D6052">
            <w:pPr>
              <w:jc w:val="both"/>
              <w:rPr>
                <w:rFonts w:asciiTheme="minorHAnsi" w:hAnsiTheme="minorHAnsi" w:cstheme="minorHAnsi"/>
              </w:rPr>
            </w:pPr>
            <w:r>
              <w:rPr>
                <w:rFonts w:asciiTheme="minorHAnsi" w:hAnsiTheme="minorHAnsi" w:cstheme="minorHAnsi"/>
              </w:rPr>
              <w:t xml:space="preserve">Existen </w:t>
            </w:r>
            <w:hyperlink r:id="rId9" w:history="1">
              <w:r>
                <w:rPr>
                  <w:rStyle w:val="Hipervnculo"/>
                  <w:rFonts w:asciiTheme="minorHAnsi" w:hAnsiTheme="minorHAnsi" w:cstheme="minorHAnsi"/>
                </w:rPr>
                <w:t>indicadores</w:t>
              </w:r>
            </w:hyperlink>
            <w:r>
              <w:rPr>
                <w:rFonts w:asciiTheme="minorHAnsi" w:hAnsiTheme="minorHAnsi" w:cstheme="minorHAnsi"/>
              </w:rPr>
              <w:t xml:space="preserve"> específicos según el ciclo de cada marco para apoyar la mejora a largo plazo del ecosistema de EFP en su conjunto.</w:t>
            </w:r>
          </w:p>
          <w:p w14:paraId="2A065074" w14:textId="467844B8" w:rsidR="0088531C" w:rsidRDefault="0088531C">
            <w:pPr>
              <w:jc w:val="both"/>
              <w:rPr>
                <w:rFonts w:asciiTheme="minorHAnsi" w:hAnsiTheme="minorHAnsi" w:cstheme="minorHAnsi"/>
              </w:rPr>
            </w:pPr>
          </w:p>
          <w:p w14:paraId="5F944146" w14:textId="77777777" w:rsidR="0088531C" w:rsidRDefault="008D6052">
            <w:pPr>
              <w:pStyle w:val="P68B1DB1-Normal10"/>
              <w:jc w:val="both"/>
            </w:pPr>
            <w:r>
              <w:t>Nivel de práctica</w:t>
            </w:r>
          </w:p>
          <w:p w14:paraId="5599134A" w14:textId="77777777" w:rsidR="0088531C" w:rsidRDefault="008D6052">
            <w:pPr>
              <w:pStyle w:val="P68B1DB1-Normal4"/>
              <w:jc w:val="both"/>
            </w:pPr>
            <w:r>
              <w:lastRenderedPageBreak/>
              <w:t>La aplicación a n</w:t>
            </w:r>
            <w:r>
              <w:t>ivel práctico del marco EQUAVET ayuda a los profesionales de la educación y la formación a adaptar mejor su oferta a las competencias de alta demanda del marcador laboral.</w:t>
            </w:r>
          </w:p>
          <w:p w14:paraId="0EF127CE" w14:textId="6C85D732" w:rsidR="0088531C" w:rsidRDefault="008D6052">
            <w:pPr>
              <w:jc w:val="both"/>
              <w:rPr>
                <w:rFonts w:asciiTheme="minorHAnsi" w:hAnsiTheme="minorHAnsi" w:cstheme="minorHAnsi"/>
              </w:rPr>
            </w:pPr>
            <w:r>
              <w:rPr>
                <w:rFonts w:asciiTheme="minorHAnsi" w:hAnsiTheme="minorHAnsi" w:cstheme="minorHAnsi"/>
              </w:rPr>
              <w:t xml:space="preserve">Existen </w:t>
            </w:r>
            <w:hyperlink r:id="rId10" w:history="1">
              <w:r>
                <w:rPr>
                  <w:rStyle w:val="Hipervnculo"/>
                  <w:rFonts w:asciiTheme="minorHAnsi" w:hAnsiTheme="minorHAnsi" w:cstheme="minorHAnsi"/>
                </w:rPr>
                <w:t>indicadores</w:t>
              </w:r>
            </w:hyperlink>
            <w:r>
              <w:rPr>
                <w:rFonts w:asciiTheme="minorHAnsi" w:hAnsiTheme="minorHAnsi" w:cstheme="minorHAnsi"/>
              </w:rPr>
              <w:t xml:space="preserve"> específicos según el ciclo de cada marco para aumentar la flexibilidad y la capacidad de respuesta de los profesionales de la EFP</w:t>
            </w:r>
          </w:p>
          <w:p w14:paraId="47F21AA9" w14:textId="4A6C9085" w:rsidR="0088531C" w:rsidRDefault="0088531C">
            <w:pPr>
              <w:jc w:val="both"/>
              <w:rPr>
                <w:rFonts w:asciiTheme="minorHAnsi" w:hAnsiTheme="minorHAnsi" w:cstheme="minorHAnsi"/>
              </w:rPr>
            </w:pPr>
          </w:p>
          <w:p w14:paraId="41F11A4B" w14:textId="77777777" w:rsidR="0088531C" w:rsidRDefault="0088531C">
            <w:pPr>
              <w:jc w:val="both"/>
              <w:rPr>
                <w:rFonts w:asciiTheme="minorHAnsi" w:hAnsiTheme="minorHAnsi" w:cstheme="minorHAnsi"/>
              </w:rPr>
            </w:pPr>
          </w:p>
          <w:p w14:paraId="344E979B" w14:textId="05730D88" w:rsidR="0088531C" w:rsidRDefault="008D6052">
            <w:pPr>
              <w:pStyle w:val="P68B1DB1-Normal9"/>
              <w:jc w:val="both"/>
            </w:pPr>
            <w:r>
              <w:t>Unidad 2: MEC</w:t>
            </w:r>
          </w:p>
          <w:p w14:paraId="29DAD00F" w14:textId="77777777" w:rsidR="0088531C" w:rsidRDefault="0088531C">
            <w:pPr>
              <w:jc w:val="both"/>
              <w:rPr>
                <w:rFonts w:asciiTheme="minorHAnsi" w:hAnsiTheme="minorHAnsi" w:cstheme="minorHAnsi"/>
                <w:b/>
              </w:rPr>
            </w:pPr>
          </w:p>
          <w:p w14:paraId="00ED5D7D" w14:textId="168EB930" w:rsidR="0088531C" w:rsidRDefault="008D6052">
            <w:pPr>
              <w:pStyle w:val="P68B1DB1-Ttulo38"/>
              <w:numPr>
                <w:ilvl w:val="0"/>
                <w:numId w:val="8"/>
              </w:numPr>
              <w:jc w:val="both"/>
            </w:pPr>
            <w:bookmarkStart w:id="2" w:name="_Toc136951776"/>
            <w:r>
              <w:t>Sección 2.1: Marco Europeo de Cualificación</w:t>
            </w:r>
          </w:p>
          <w:bookmarkEnd w:id="2"/>
          <w:p w14:paraId="48AA8C11" w14:textId="2D282980" w:rsidR="0088531C" w:rsidRDefault="0088531C">
            <w:pPr>
              <w:pStyle w:val="Ttulo3"/>
              <w:ind w:left="720"/>
              <w:jc w:val="both"/>
              <w:outlineLvl w:val="2"/>
              <w:rPr>
                <w:rFonts w:asciiTheme="minorHAnsi" w:eastAsia="Times New Roman" w:hAnsiTheme="minorHAnsi" w:cstheme="minorHAnsi"/>
                <w:b/>
                <w:color w:val="auto"/>
                <w:sz w:val="22"/>
                <w:shd w:val="clear" w:color="auto" w:fill="FFFFFF"/>
              </w:rPr>
            </w:pPr>
          </w:p>
          <w:p w14:paraId="51CC3128" w14:textId="77777777" w:rsidR="0088531C" w:rsidRDefault="0088531C">
            <w:pPr>
              <w:jc w:val="both"/>
              <w:rPr>
                <w:rFonts w:asciiTheme="minorHAnsi" w:hAnsiTheme="minorHAnsi" w:cstheme="minorHAnsi"/>
                <w:highlight w:val="magenta"/>
              </w:rPr>
            </w:pPr>
          </w:p>
          <w:p w14:paraId="32281A21" w14:textId="77777777" w:rsidR="0088531C" w:rsidRDefault="008D6052">
            <w:pPr>
              <w:pStyle w:val="P68B1DB1-Normal4"/>
              <w:jc w:val="both"/>
            </w:pPr>
            <w:r>
              <w:t xml:space="preserve">El MEC es un marco transnacional utilizado para aumentar la comparabilidad, la transparencia y la transferibilidad internacional de las cualificaciones de las personas a nivel internacional. El MEC es adoptado actualmente por todos los Estados miembros de </w:t>
            </w:r>
            <w:r>
              <w:t>la UE y otros once países* y ofrece una descripción muy completa de todas las categorías posibles de cualificaciones.</w:t>
            </w:r>
          </w:p>
          <w:p w14:paraId="477F4399" w14:textId="77777777" w:rsidR="0088531C" w:rsidRDefault="008D6052">
            <w:pPr>
              <w:pStyle w:val="P68B1DB1-Normal4"/>
              <w:jc w:val="both"/>
            </w:pPr>
            <w:r>
              <w:t>Se prevén ocho niveles de cualificaciones basados en el aprendizaje, con el nivel 1 y el nivel 8 como el nivel más bajo y el más alto posi</w:t>
            </w:r>
            <w:r>
              <w:t>ble.</w:t>
            </w:r>
          </w:p>
          <w:p w14:paraId="785115BA" w14:textId="77777777" w:rsidR="0088531C" w:rsidRDefault="008D6052">
            <w:pPr>
              <w:pStyle w:val="P68B1DB1-Normal4"/>
              <w:jc w:val="both"/>
            </w:pPr>
            <w:r>
              <w:t>Al diseñar y elaborar estrategias sobre el contenido de los programas de formación y los resultados de aprendizaje deseados, se recomienda a los proveedores de EFP que estudien el MEC y comparen cuál es el posicionamiento de su oferta.</w:t>
            </w:r>
          </w:p>
          <w:p w14:paraId="549959FC" w14:textId="7A6D5D9C" w:rsidR="0088531C" w:rsidRDefault="0088531C">
            <w:pPr>
              <w:jc w:val="both"/>
              <w:rPr>
                <w:rFonts w:asciiTheme="minorHAnsi" w:hAnsiTheme="minorHAnsi" w:cstheme="minorHAnsi"/>
              </w:rPr>
            </w:pPr>
          </w:p>
          <w:p w14:paraId="4725E740" w14:textId="77777777" w:rsidR="0088531C" w:rsidRDefault="008D6052">
            <w:pPr>
              <w:pStyle w:val="P68B1DB1-Normal9"/>
              <w:jc w:val="both"/>
            </w:pPr>
            <w:r>
              <w:t>Los resultados</w:t>
            </w:r>
            <w:r>
              <w:t xml:space="preserve"> de leanirng se definen en términos de Knowedlge, Habilidades y Autonomía</w:t>
            </w:r>
          </w:p>
          <w:p w14:paraId="50AD2AFF" w14:textId="6322E7D4" w:rsidR="0088531C" w:rsidRDefault="0088531C">
            <w:pPr>
              <w:jc w:val="both"/>
              <w:rPr>
                <w:rFonts w:asciiTheme="minorHAnsi" w:hAnsiTheme="minorHAnsi" w:cstheme="minorHAnsi"/>
              </w:rPr>
            </w:pPr>
          </w:p>
          <w:p w14:paraId="5DC6999F" w14:textId="77777777" w:rsidR="0088531C" w:rsidRDefault="008D6052">
            <w:pPr>
              <w:pStyle w:val="P68B1DB1-Normal10"/>
              <w:jc w:val="both"/>
            </w:pPr>
            <w:r>
              <w:t>Conocimiento</w:t>
            </w:r>
          </w:p>
          <w:p w14:paraId="27004EF7" w14:textId="77777777" w:rsidR="0088531C" w:rsidRDefault="008D6052">
            <w:pPr>
              <w:pStyle w:val="P68B1DB1-Normal4"/>
              <w:jc w:val="both"/>
            </w:pPr>
            <w:r>
              <w:t>En el contexto del MEC, el conocimiento se describe como teórico o fáctico.</w:t>
            </w:r>
          </w:p>
          <w:p w14:paraId="4D24965E" w14:textId="321AB502" w:rsidR="0088531C" w:rsidRDefault="0088531C">
            <w:pPr>
              <w:jc w:val="both"/>
              <w:rPr>
                <w:rFonts w:asciiTheme="minorHAnsi" w:hAnsiTheme="minorHAnsi" w:cstheme="minorHAnsi"/>
              </w:rPr>
            </w:pPr>
          </w:p>
          <w:p w14:paraId="11BC9150" w14:textId="77777777" w:rsidR="0088531C" w:rsidRDefault="008D6052">
            <w:pPr>
              <w:pStyle w:val="P68B1DB1-Normal10"/>
              <w:jc w:val="both"/>
            </w:pPr>
            <w:r>
              <w:t>Habilidades</w:t>
            </w:r>
          </w:p>
          <w:p w14:paraId="0A1F75AB" w14:textId="77777777" w:rsidR="0088531C" w:rsidRDefault="008D6052">
            <w:pPr>
              <w:pStyle w:val="P68B1DB1-Normal4"/>
              <w:jc w:val="both"/>
            </w:pPr>
            <w:r>
              <w:t>En el contexto del MEC, las capacidades se describen como cognitivas (que impli</w:t>
            </w:r>
            <w:r>
              <w:t>can el uso del pensamiento lógico, intuitivo y creativo) y prácticas (que implican la destreza manual y el uso de métodos, materiales, herramientas e instrumentos).</w:t>
            </w:r>
          </w:p>
          <w:p w14:paraId="459EECA9" w14:textId="61C97786" w:rsidR="0088531C" w:rsidRDefault="0088531C">
            <w:pPr>
              <w:jc w:val="both"/>
              <w:rPr>
                <w:rFonts w:asciiTheme="minorHAnsi" w:hAnsiTheme="minorHAnsi" w:cstheme="minorHAnsi"/>
              </w:rPr>
            </w:pPr>
          </w:p>
          <w:p w14:paraId="2EDEBD75" w14:textId="77777777" w:rsidR="0088531C" w:rsidRDefault="008D6052">
            <w:pPr>
              <w:pStyle w:val="P68B1DB1-Normal10"/>
              <w:jc w:val="both"/>
            </w:pPr>
            <w:r>
              <w:t>Responsabilidad</w:t>
            </w:r>
          </w:p>
          <w:p w14:paraId="3216EF9F" w14:textId="77777777" w:rsidR="0088531C" w:rsidRDefault="008D6052">
            <w:pPr>
              <w:pStyle w:val="P68B1DB1-Normal4"/>
              <w:jc w:val="both"/>
            </w:pPr>
            <w:r>
              <w:t>En el contexto del MEC, la responsabilidad y la autonomía se describen como la capacidad del alumno para aplicar los conocimientos y las competencias de forma autónoma y con responsabilidad.</w:t>
            </w:r>
          </w:p>
          <w:p w14:paraId="08FB4CAA" w14:textId="130F21D6" w:rsidR="0088531C" w:rsidRDefault="0088531C">
            <w:pPr>
              <w:jc w:val="both"/>
              <w:rPr>
                <w:rFonts w:asciiTheme="minorHAnsi" w:hAnsiTheme="minorHAnsi" w:cstheme="minorHAnsi"/>
              </w:rPr>
            </w:pPr>
          </w:p>
          <w:p w14:paraId="4691BE79" w14:textId="69E5C046" w:rsidR="0088531C" w:rsidRDefault="008D6052">
            <w:pPr>
              <w:pStyle w:val="P68B1DB1-Normal4"/>
              <w:jc w:val="both"/>
            </w:pPr>
            <w:r>
              <w:rPr>
                <w:noProof/>
              </w:rPr>
              <w:lastRenderedPageBreak/>
              <w:drawing>
                <wp:inline distT="0" distB="0" distL="0" distR="0" wp14:anchorId="0DFA841E" wp14:editId="5EAB3A3B">
                  <wp:extent cx="4073525" cy="1990090"/>
                  <wp:effectExtent l="0" t="0" r="317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3525" cy="1990090"/>
                          </a:xfrm>
                          <a:prstGeom prst="rect">
                            <a:avLst/>
                          </a:prstGeom>
                        </pic:spPr>
                      </pic:pic>
                    </a:graphicData>
                  </a:graphic>
                </wp:inline>
              </w:drawing>
            </w:r>
          </w:p>
          <w:p w14:paraId="2E0E2B47" w14:textId="5212B08D" w:rsidR="0088531C" w:rsidRDefault="0088531C">
            <w:pPr>
              <w:jc w:val="both"/>
              <w:rPr>
                <w:rFonts w:asciiTheme="minorHAnsi" w:hAnsiTheme="minorHAnsi" w:cstheme="minorHAnsi"/>
              </w:rPr>
            </w:pPr>
          </w:p>
          <w:p w14:paraId="3414BC5A" w14:textId="77777777" w:rsidR="0088531C" w:rsidRDefault="008D6052">
            <w:pPr>
              <w:pStyle w:val="P68B1DB1-Normal9"/>
              <w:jc w:val="both"/>
            </w:pPr>
            <w:r>
              <w:t xml:space="preserve">Unidad 3: Cedefop — Centro de la UE para el desarrollo de la </w:t>
            </w:r>
            <w:r>
              <w:t>EFP</w:t>
            </w:r>
          </w:p>
          <w:p w14:paraId="320BF3E8" w14:textId="1A8A8850" w:rsidR="0088531C" w:rsidRDefault="0088531C">
            <w:pPr>
              <w:jc w:val="both"/>
              <w:rPr>
                <w:rFonts w:asciiTheme="minorHAnsi" w:hAnsiTheme="minorHAnsi" w:cstheme="minorHAnsi"/>
              </w:rPr>
            </w:pPr>
          </w:p>
          <w:p w14:paraId="156F7069" w14:textId="77777777" w:rsidR="0088531C" w:rsidRDefault="008D6052">
            <w:pPr>
              <w:pStyle w:val="P68B1DB1-Ttulo38"/>
              <w:numPr>
                <w:ilvl w:val="0"/>
                <w:numId w:val="8"/>
              </w:numPr>
              <w:jc w:val="both"/>
            </w:pPr>
            <w:bookmarkStart w:id="3" w:name="_Toc136951777"/>
            <w:r>
              <w:t>Sección 3.1: La base de datos de referencia para la educación y la formación profesionales</w:t>
            </w:r>
          </w:p>
          <w:bookmarkEnd w:id="3"/>
          <w:p w14:paraId="1A1E01C0" w14:textId="6F381DE5" w:rsidR="0088531C" w:rsidRDefault="0088531C">
            <w:pPr>
              <w:pStyle w:val="Ttulo3"/>
              <w:ind w:left="720"/>
              <w:jc w:val="both"/>
              <w:outlineLvl w:val="2"/>
              <w:rPr>
                <w:rFonts w:asciiTheme="minorHAnsi" w:eastAsia="Times New Roman" w:hAnsiTheme="minorHAnsi" w:cstheme="minorHAnsi"/>
                <w:b/>
                <w:color w:val="auto"/>
                <w:sz w:val="22"/>
              </w:rPr>
            </w:pPr>
          </w:p>
          <w:p w14:paraId="704E5E9D" w14:textId="77777777" w:rsidR="0088531C" w:rsidRDefault="008D6052">
            <w:pPr>
              <w:pStyle w:val="P68B1DB1-Normal11"/>
              <w:jc w:val="both"/>
            </w:pPr>
            <w:r>
              <w:t>El Cedefop es la agencia de la UE para el desarrollo de la educación y la formación. El sitio web oficial de la agencia proporciona varios recursos estratégico</w:t>
            </w:r>
            <w:r>
              <w:t>s para los proveedores de EFP en toda Europa.</w:t>
            </w:r>
          </w:p>
          <w:p w14:paraId="099092B7" w14:textId="77777777" w:rsidR="0088531C" w:rsidRDefault="008D6052">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Este tipo de recursos van desde </w:t>
            </w:r>
            <w:hyperlink r:id="rId12" w:history="1">
              <w:r>
                <w:rPr>
                  <w:rStyle w:val="Hipervnculo"/>
                  <w:rFonts w:asciiTheme="minorHAnsi" w:hAnsiTheme="minorHAnsi" w:cstheme="minorHAnsi"/>
                  <w:shd w:val="clear" w:color="auto" w:fill="FFFFFF"/>
                </w:rPr>
                <w:t>publicaciones e informes</w:t>
              </w:r>
            </w:hyperlink>
            <w:r>
              <w:rPr>
                <w:rFonts w:asciiTheme="minorHAnsi" w:hAnsiTheme="minorHAnsi" w:cstheme="minorHAnsi"/>
                <w:shd w:val="clear" w:color="auto" w:fill="FFFFFF"/>
              </w:rPr>
              <w:t xml:space="preserve"> hasta herramientas operativas en línea disponibles para el uso de profesionales</w:t>
            </w:r>
            <w:r>
              <w:rPr>
                <w:rFonts w:asciiTheme="minorHAnsi" w:hAnsiTheme="minorHAnsi" w:cstheme="minorHAnsi"/>
                <w:shd w:val="clear" w:color="auto" w:fill="FFFFFF"/>
              </w:rPr>
              <w:t xml:space="preserve"> de los </w:t>
            </w:r>
            <w:hyperlink r:id="rId13" w:history="1">
              <w:r>
                <w:rPr>
                  <w:rStyle w:val="Hipervnculo"/>
                  <w:rFonts w:asciiTheme="minorHAnsi" w:hAnsiTheme="minorHAnsi" w:cstheme="minorHAnsi"/>
                  <w:shd w:val="clear" w:color="auto" w:fill="FFFFFF"/>
                </w:rPr>
                <w:t>temas más variados</w:t>
              </w:r>
            </w:hyperlink>
            <w:r>
              <w:rPr>
                <w:rFonts w:asciiTheme="minorHAnsi" w:hAnsiTheme="minorHAnsi" w:cstheme="minorHAnsi"/>
                <w:shd w:val="clear" w:color="auto" w:fill="FFFFFF"/>
              </w:rPr>
              <w:t>.</w:t>
            </w:r>
          </w:p>
          <w:p w14:paraId="0A593CB1" w14:textId="77777777" w:rsidR="0088531C" w:rsidRDefault="008D6052">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Lo más importante es que, en cooperación con la Comisión Europea, el Cedefops opera de manera proactiva para dar una aplicación concreta a la </w:t>
            </w:r>
            <w:hyperlink r:id="rId14" w:history="1">
              <w:r>
                <w:rPr>
                  <w:rStyle w:val="Hipervnculo"/>
                  <w:rFonts w:asciiTheme="minorHAnsi" w:hAnsiTheme="minorHAnsi" w:cstheme="minorHAnsi"/>
                  <w:shd w:val="clear" w:color="auto" w:fill="FFFFFF"/>
                </w:rPr>
                <w:t>Recomendación ECVET de 2009</w:t>
              </w:r>
            </w:hyperlink>
            <w:r>
              <w:rPr>
                <w:rFonts w:asciiTheme="minorHAnsi" w:hAnsiTheme="minorHAnsi" w:cstheme="minorHAnsi"/>
                <w:shd w:val="clear" w:color="auto" w:fill="FFFFFF"/>
              </w:rPr>
              <w:t xml:space="preserve"> del Parlamento Europeo y del Consejo, un instrumento común de la UE para ayudar a las personas a transferir y acumular sus resultados de aprendizaje en toda la UE.</w:t>
            </w:r>
          </w:p>
          <w:p w14:paraId="7321891D" w14:textId="77777777" w:rsidR="0088531C" w:rsidRDefault="0088531C">
            <w:pPr>
              <w:pStyle w:val="Ttulo2"/>
              <w:jc w:val="both"/>
              <w:outlineLvl w:val="1"/>
              <w:rPr>
                <w:rFonts w:asciiTheme="minorHAnsi" w:eastAsia="Times New Roman" w:hAnsiTheme="minorHAnsi" w:cstheme="minorHAnsi"/>
                <w:color w:val="auto"/>
                <w:shd w:val="clear" w:color="auto" w:fill="FFFFFF"/>
              </w:rPr>
            </w:pPr>
          </w:p>
          <w:p w14:paraId="4746A8BF" w14:textId="77777777" w:rsidR="0088531C" w:rsidRDefault="008D6052">
            <w:pPr>
              <w:pStyle w:val="P68B1DB1-Normal9"/>
            </w:pPr>
            <w:r>
              <w:t>Herramientas en línea</w:t>
            </w:r>
          </w:p>
          <w:tbl>
            <w:tblPr>
              <w:tblW w:w="6090" w:type="dxa"/>
              <w:tblLayout w:type="fixed"/>
              <w:tblCellMar>
                <w:left w:w="0" w:type="dxa"/>
                <w:right w:w="0" w:type="dxa"/>
              </w:tblCellMar>
              <w:tblLook w:val="0420" w:firstRow="1" w:lastRow="0" w:firstColumn="0" w:lastColumn="0" w:noHBand="0" w:noVBand="1"/>
            </w:tblPr>
            <w:tblGrid>
              <w:gridCol w:w="1979"/>
              <w:gridCol w:w="1276"/>
              <w:gridCol w:w="1559"/>
              <w:gridCol w:w="1276"/>
            </w:tblGrid>
            <w:tr w:rsidR="0088531C" w14:paraId="6542A551" w14:textId="77777777">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4E5C673" w14:textId="77777777" w:rsidR="0088531C" w:rsidRDefault="008D6052">
                  <w:pPr>
                    <w:pStyle w:val="P68B1DB1-Normal4"/>
                    <w:widowControl/>
                    <w:autoSpaceDE/>
                    <w:autoSpaceDN/>
                  </w:pPr>
                  <w:r>
                    <w:t>Base de datos europea del Cedefop sobre sistemas de aprendizaje</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DFAEEC9" w14:textId="77777777" w:rsidR="0088531C" w:rsidRDefault="008D6052">
                  <w:pPr>
                    <w:pStyle w:val="P68B1DB1-Normal4"/>
                    <w:widowControl/>
                    <w:autoSpaceDE/>
                    <w:autoSpaceDN/>
                  </w:pPr>
                  <w:r>
                    <w:t>Financiación de la Base de Datos de Aprendizaje de Adultos</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EA77A06" w14:textId="77777777" w:rsidR="0088531C" w:rsidRDefault="008D6052">
                  <w:pPr>
                    <w:pStyle w:val="P68B1DB1-Normal4"/>
                    <w:widowControl/>
                    <w:autoSpaceDE/>
                    <w:autoSpaceDN/>
                  </w:pPr>
                  <w:r>
                    <w:t>Herramientas en línea de los marcos nacionales de cualificación</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A010C54" w14:textId="77777777" w:rsidR="0088531C" w:rsidRDefault="008D6052">
                  <w:pPr>
                    <w:pStyle w:val="P68B1DB1-Normal4"/>
                    <w:widowControl/>
                    <w:autoSpaceDE/>
                    <w:autoSpaceDN/>
                  </w:pPr>
                  <w:r>
                    <w:t>Habilidades-OVATE</w:t>
                  </w:r>
                </w:p>
              </w:tc>
            </w:tr>
            <w:tr w:rsidR="0088531C" w14:paraId="75B8267E" w14:textId="77777777">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8CCF41C" w14:textId="77777777" w:rsidR="0088531C" w:rsidRDefault="008D6052">
                  <w:pPr>
                    <w:pStyle w:val="P68B1DB1-Normal4"/>
                    <w:widowControl/>
                    <w:autoSpaceDE/>
                    <w:autoSpaceDN/>
                  </w:pPr>
                  <w:r>
                    <w:t xml:space="preserve">Base de datos europea sobre </w:t>
                  </w:r>
                  <w:r>
                    <w:t>validación de</w:t>
                  </w:r>
                  <w:r>
                    <w:rPr>
                      <w:b/>
                    </w:rPr>
                    <w:t>herramientas no formales e informales en línea</w:t>
                  </w:r>
                </w:p>
                <w:p w14:paraId="79BDAE49" w14:textId="77777777" w:rsidR="0088531C" w:rsidRDefault="008D6052">
                  <w:pPr>
                    <w:pStyle w:val="P68B1DB1-Normal4"/>
                    <w:widowControl/>
                    <w:autoSpaceDE/>
                    <w:autoSpaceDN/>
                  </w:pPr>
                  <w:r>
                    <w:t>rning</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CD417BC" w14:textId="77777777" w:rsidR="0088531C" w:rsidRDefault="008D6052">
                  <w:pPr>
                    <w:pStyle w:val="P68B1DB1-Normal4"/>
                    <w:widowControl/>
                    <w:autoSpaceDE/>
                    <w:autoSpaceDN/>
                  </w:pPr>
                  <w:r>
                    <w:t>Financiación de la base de datos de formación de aprendices</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F9F72D1" w14:textId="77777777" w:rsidR="0088531C" w:rsidRDefault="008D6052">
                  <w:pPr>
                    <w:pStyle w:val="P68B1DB1-Normal4"/>
                    <w:widowControl/>
                    <w:autoSpaceDE/>
                    <w:autoSpaceDN/>
                  </w:pPr>
                  <w:r>
                    <w:t xml:space="preserve">Encuesta de opinión sobre EFP </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5304AEF1" w14:textId="77777777" w:rsidR="0088531C" w:rsidRDefault="008D6052">
                  <w:pPr>
                    <w:pStyle w:val="P68B1DB1-Normal4"/>
                    <w:widowControl/>
                    <w:autoSpaceDE/>
                    <w:autoSpaceDN/>
                  </w:pPr>
                  <w:r>
                    <w:t>Terminología de la política europea de educación y formación</w:t>
                  </w:r>
                </w:p>
              </w:tc>
            </w:tr>
            <w:tr w:rsidR="0088531C" w14:paraId="5A09BF69" w14:textId="77777777">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4A9B2E6" w14:textId="77777777" w:rsidR="0088531C" w:rsidRDefault="008D6052">
                  <w:pPr>
                    <w:pStyle w:val="P68B1DB1-Normal4"/>
                    <w:widowControl/>
                    <w:autoSpaceDE/>
                    <w:autoSpaceDN/>
                  </w:pPr>
                  <w:r>
                    <w:lastRenderedPageBreak/>
                    <w:t>Encuesta Europea de Capacidades y Emp</w:t>
                  </w:r>
                  <w:r>
                    <w:t xml:space="preserve">leo </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D40F699" w14:textId="77777777" w:rsidR="0088531C" w:rsidRDefault="008D6052">
                  <w:pPr>
                    <w:pStyle w:val="P68B1DB1-Normal4"/>
                    <w:widowControl/>
                    <w:autoSpaceDE/>
                    <w:autoSpaceDN/>
                  </w:pPr>
                  <w:r>
                    <w:t>Indicadores clave sobre la EFP</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0412BA3" w14:textId="77777777" w:rsidR="0088531C" w:rsidRDefault="008D6052">
                  <w:pPr>
                    <w:pStyle w:val="P68B1DB1-Normal4"/>
                    <w:widowControl/>
                    <w:autoSpaceDE/>
                    <w:autoSpaceDN/>
                  </w:pPr>
                  <w:r>
                    <w:t>Recurso de orientación</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F340753" w14:textId="77777777" w:rsidR="0088531C" w:rsidRDefault="008D6052">
                  <w:pPr>
                    <w:pStyle w:val="P68B1DB1-Normal4"/>
                    <w:widowControl/>
                    <w:autoSpaceDE/>
                    <w:autoSpaceDN/>
                  </w:pPr>
                  <w:r>
                    <w:t>Base de datos de EFP en Europa</w:t>
                  </w:r>
                </w:p>
              </w:tc>
            </w:tr>
            <w:tr w:rsidR="0088531C" w14:paraId="40796719" w14:textId="77777777">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3010B31" w14:textId="77777777" w:rsidR="0088531C" w:rsidRDefault="008D6052">
                  <w:pPr>
                    <w:pStyle w:val="P68B1DB1-Normal4"/>
                    <w:widowControl/>
                    <w:autoSpaceDE/>
                    <w:autoSpaceDN/>
                  </w:pPr>
                  <w:r>
                    <w:t>Índice Europeo de Capacidades</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A172DCC" w14:textId="77777777" w:rsidR="0088531C" w:rsidRDefault="008D6052">
                  <w:pPr>
                    <w:pStyle w:val="P68B1DB1-Normal4"/>
                    <w:widowControl/>
                    <w:autoSpaceDE/>
                    <w:autoSpaceDN/>
                  </w:pPr>
                  <w:r>
                    <w:t>Emparejamiento de habilidades</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6449A2B" w14:textId="77777777" w:rsidR="0088531C" w:rsidRDefault="008D6052">
                  <w:pPr>
                    <w:pStyle w:val="P68B1DB1-Normal4"/>
                    <w:widowControl/>
                    <w:autoSpaceDE/>
                    <w:autoSpaceDN/>
                  </w:pPr>
                  <w:r>
                    <w:t xml:space="preserve">Previsión de competencias </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0DB19CC" w14:textId="77777777" w:rsidR="0088531C" w:rsidRDefault="008D6052">
                  <w:pPr>
                    <w:pStyle w:val="P68B1DB1-Normal4"/>
                    <w:widowControl/>
                    <w:autoSpaceDE/>
                    <w:autoSpaceDN/>
                  </w:pPr>
                  <w:r>
                    <w:t>Kit de herramientas de EFP para empoderar a los ninis</w:t>
                  </w:r>
                </w:p>
              </w:tc>
            </w:tr>
            <w:tr w:rsidR="0088531C" w14:paraId="0EE4AAB7" w14:textId="77777777">
              <w:trPr>
                <w:trHeight w:val="622"/>
              </w:trPr>
              <w:tc>
                <w:tcPr>
                  <w:tcW w:w="197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C750892" w14:textId="77777777" w:rsidR="0088531C" w:rsidRDefault="008D6052">
                  <w:pPr>
                    <w:pStyle w:val="P68B1DB1-Normal4"/>
                    <w:widowControl/>
                    <w:autoSpaceDE/>
                    <w:autoSpaceDN/>
                  </w:pPr>
                  <w:r>
                    <w:t>Cuadro de indicadores de la política europea de EFP</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0D67E64" w14:textId="77777777" w:rsidR="0088531C" w:rsidRDefault="008D6052">
                  <w:pPr>
                    <w:pStyle w:val="P68B1DB1-Normal4"/>
                    <w:widowControl/>
                    <w:autoSpaceDE/>
                    <w:autoSpaceDN/>
                  </w:pPr>
                  <w:r>
                    <w:t>Base de datos del Cuadro de Indicadores de Movilidad</w:t>
                  </w:r>
                </w:p>
              </w:tc>
              <w:tc>
                <w:tcPr>
                  <w:tcW w:w="1559"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FBB8264" w14:textId="77777777" w:rsidR="0088531C" w:rsidRDefault="008D6052">
                  <w:pPr>
                    <w:pStyle w:val="P68B1DB1-Normal4"/>
                    <w:widowControl/>
                    <w:autoSpaceDE/>
                    <w:autoSpaceDN/>
                  </w:pPr>
                  <w:r>
                    <w:t>Inteligencia de habilidades</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7861BC9" w14:textId="77777777" w:rsidR="0088531C" w:rsidRDefault="008D6052">
                  <w:pPr>
                    <w:pStyle w:val="P68B1DB1-Normal4"/>
                    <w:widowControl/>
                    <w:autoSpaceDE/>
                    <w:autoSpaceDN/>
                  </w:pPr>
                  <w:r>
                    <w:t>Conjunto de herramientas de EFP para hacer frente a las salidas anti</w:t>
                  </w:r>
                  <w:r>
                    <w:t>cipadas</w:t>
                  </w:r>
                </w:p>
              </w:tc>
            </w:tr>
          </w:tbl>
          <w:p w14:paraId="1BE8684D" w14:textId="77777777" w:rsidR="0088531C" w:rsidRDefault="008D6052">
            <w:pPr>
              <w:rPr>
                <w:rFonts w:asciiTheme="minorHAnsi" w:hAnsiTheme="minorHAnsi" w:cstheme="minorHAnsi"/>
              </w:rPr>
            </w:pPr>
            <w:r>
              <w:rPr>
                <w:rFonts w:asciiTheme="minorHAnsi" w:hAnsiTheme="minorHAnsi" w:cstheme="minorHAnsi"/>
              </w:rPr>
              <w:t xml:space="preserve">Fuente: </w:t>
            </w:r>
            <w:hyperlink r:id="rId15" w:history="1">
              <w:r>
                <w:rPr>
                  <w:rStyle w:val="Hipervnculo"/>
                  <w:rFonts w:asciiTheme="minorHAnsi" w:hAnsiTheme="minorHAnsi" w:cstheme="minorHAnsi"/>
                </w:rPr>
                <w:t>CEDEFOP</w:t>
              </w:r>
            </w:hyperlink>
            <w:r>
              <w:rPr>
                <w:rFonts w:asciiTheme="minorHAnsi" w:hAnsiTheme="minorHAnsi" w:cstheme="minorHAnsi"/>
              </w:rPr>
              <w:t xml:space="preserve"> </w:t>
            </w:r>
          </w:p>
          <w:p w14:paraId="2C0EB304" w14:textId="77777777" w:rsidR="0088531C" w:rsidRDefault="0088531C">
            <w:pPr>
              <w:rPr>
                <w:rFonts w:asciiTheme="minorHAnsi" w:hAnsiTheme="minorHAnsi" w:cstheme="minorHAnsi"/>
              </w:rPr>
            </w:pPr>
          </w:p>
          <w:p w14:paraId="0C0EFBBF" w14:textId="77777777" w:rsidR="0088531C" w:rsidRDefault="0088531C">
            <w:pPr>
              <w:pStyle w:val="Ttulo2"/>
              <w:jc w:val="both"/>
              <w:outlineLvl w:val="1"/>
              <w:rPr>
                <w:rFonts w:asciiTheme="minorHAnsi" w:eastAsia="Times New Roman" w:hAnsiTheme="minorHAnsi" w:cstheme="minorHAnsi"/>
                <w:b/>
                <w:color w:val="auto"/>
                <w:sz w:val="22"/>
                <w:shd w:val="clear" w:color="auto" w:fill="FFFFFF"/>
              </w:rPr>
            </w:pPr>
            <w:bookmarkStart w:id="4" w:name="_Toc136951778"/>
          </w:p>
          <w:p w14:paraId="677D2C4F" w14:textId="77777777" w:rsidR="0088531C" w:rsidRDefault="0088531C">
            <w:pPr>
              <w:pStyle w:val="Ttulo2"/>
              <w:jc w:val="both"/>
              <w:outlineLvl w:val="1"/>
              <w:rPr>
                <w:rFonts w:asciiTheme="minorHAnsi" w:eastAsia="Times New Roman" w:hAnsiTheme="minorHAnsi" w:cstheme="minorHAnsi"/>
                <w:b/>
                <w:color w:val="auto"/>
                <w:sz w:val="22"/>
                <w:shd w:val="clear" w:color="auto" w:fill="FFFFFF"/>
              </w:rPr>
            </w:pPr>
          </w:p>
          <w:p w14:paraId="67776361" w14:textId="15BF36A6" w:rsidR="0088531C" w:rsidRDefault="008D6052">
            <w:pPr>
              <w:pStyle w:val="P68B1DB1-Ttulo212"/>
              <w:jc w:val="both"/>
            </w:pPr>
            <w:r>
              <w:t xml:space="preserve">Unidad </w:t>
            </w:r>
            <w:bookmarkEnd w:id="4"/>
            <w:r>
              <w:t>4: EURES — Red de cooperación de la UE para el empleo</w:t>
            </w:r>
          </w:p>
          <w:p w14:paraId="4AF6756C" w14:textId="6A2C5B93" w:rsidR="0088531C" w:rsidRDefault="0088531C">
            <w:pPr>
              <w:pStyle w:val="Ttulo2"/>
              <w:jc w:val="both"/>
              <w:outlineLvl w:val="1"/>
              <w:rPr>
                <w:rFonts w:asciiTheme="minorHAnsi" w:eastAsia="Times New Roman" w:hAnsiTheme="minorHAnsi" w:cstheme="minorHAnsi"/>
                <w:b/>
                <w:color w:val="auto"/>
                <w:sz w:val="22"/>
                <w:shd w:val="clear" w:color="auto" w:fill="FFFFFF"/>
              </w:rPr>
            </w:pPr>
          </w:p>
          <w:p w14:paraId="65225A40" w14:textId="77777777" w:rsidR="0088531C" w:rsidRDefault="008D6052">
            <w:pPr>
              <w:pStyle w:val="P68B1DB1-Ttulo38"/>
              <w:numPr>
                <w:ilvl w:val="0"/>
                <w:numId w:val="8"/>
              </w:numPr>
              <w:jc w:val="both"/>
            </w:pPr>
            <w:bookmarkStart w:id="5" w:name="_Toc136951779"/>
            <w:r>
              <w:t>Sección 4.1: Facilitar la libre circulación de los trabajadores</w:t>
            </w:r>
          </w:p>
          <w:bookmarkEnd w:id="5"/>
          <w:p w14:paraId="5EB80DDE" w14:textId="71ED38AA" w:rsidR="0088531C" w:rsidRDefault="0088531C">
            <w:pPr>
              <w:pStyle w:val="Ttulo3"/>
              <w:ind w:left="720"/>
              <w:jc w:val="both"/>
              <w:outlineLvl w:val="2"/>
              <w:rPr>
                <w:rFonts w:asciiTheme="minorHAnsi" w:eastAsia="Times New Roman" w:hAnsiTheme="minorHAnsi" w:cstheme="minorHAnsi"/>
                <w:b/>
                <w:color w:val="auto"/>
                <w:sz w:val="22"/>
                <w:shd w:val="clear" w:color="auto" w:fill="FFFFFF"/>
              </w:rPr>
            </w:pPr>
          </w:p>
          <w:p w14:paraId="55F8D9E2" w14:textId="77777777" w:rsidR="0088531C" w:rsidRDefault="0088531C">
            <w:pPr>
              <w:jc w:val="both"/>
              <w:rPr>
                <w:rFonts w:asciiTheme="minorHAnsi" w:hAnsiTheme="minorHAnsi" w:cstheme="minorHAnsi"/>
              </w:rPr>
            </w:pPr>
          </w:p>
          <w:p w14:paraId="4E82A08B" w14:textId="492926CD" w:rsidR="0088531C" w:rsidRDefault="008D6052">
            <w:pPr>
              <w:pStyle w:val="P68B1DB1-Normal4"/>
              <w:jc w:val="both"/>
            </w:pPr>
            <w:r>
              <w:t>EURES ayuda a los trabajadores y solicitantes de empleo de toda Europa a encontrar su trabajo ideal, y a los empleadores a encontrar a sus candidatos ideales. Los proveedores de EFP pueden a</w:t>
            </w:r>
            <w:r>
              <w:t>provechar el portal EURES para facilitar la adecuación de la demanda y la oferta, y facilitar la transición al mercado laboral de sus estudiantes. Más concretamente, los servicios de EURES se centran en lo siguiente:</w:t>
            </w:r>
          </w:p>
          <w:p w14:paraId="4AC2633C" w14:textId="77777777" w:rsidR="0088531C" w:rsidRDefault="0088531C">
            <w:pPr>
              <w:jc w:val="both"/>
              <w:rPr>
                <w:rFonts w:asciiTheme="minorHAnsi" w:hAnsiTheme="minorHAnsi" w:cstheme="minorHAnsi"/>
              </w:rPr>
            </w:pPr>
          </w:p>
          <w:p w14:paraId="0455DA8D" w14:textId="77777777" w:rsidR="0088531C" w:rsidRDefault="008D6052">
            <w:pPr>
              <w:pStyle w:val="P68B1DB1-Normal4"/>
              <w:numPr>
                <w:ilvl w:val="0"/>
                <w:numId w:val="8"/>
              </w:numPr>
              <w:jc w:val="both"/>
            </w:pPr>
            <w:r>
              <w:t>Correspondencia de ofertas de empleo y currículum vitae en el portal EURES</w:t>
            </w:r>
          </w:p>
          <w:p w14:paraId="6CAE15D5" w14:textId="77777777" w:rsidR="0088531C" w:rsidRDefault="008D6052">
            <w:pPr>
              <w:pStyle w:val="P68B1DB1-Normal4"/>
              <w:numPr>
                <w:ilvl w:val="0"/>
                <w:numId w:val="8"/>
              </w:numPr>
              <w:jc w:val="both"/>
            </w:pPr>
            <w:r>
              <w:t>Servicios de información y orientación y otros servicios de apoyo para trabajadores y empleadores</w:t>
            </w:r>
          </w:p>
          <w:p w14:paraId="6D887893" w14:textId="77777777" w:rsidR="0088531C" w:rsidRDefault="008D6052">
            <w:pPr>
              <w:pStyle w:val="P68B1DB1-Normal4"/>
              <w:numPr>
                <w:ilvl w:val="0"/>
                <w:numId w:val="8"/>
              </w:numPr>
              <w:jc w:val="both"/>
            </w:pPr>
            <w:r>
              <w:t>Acceso a la información sobre las condiciones de vida y de trabajo en los Estados m</w:t>
            </w:r>
            <w:r>
              <w:t>iembros de la UE, como la fiscalidad, las pensiones, el seguro de enfermedad y la seguridad social</w:t>
            </w:r>
          </w:p>
          <w:p w14:paraId="27868455" w14:textId="77777777" w:rsidR="0088531C" w:rsidRDefault="008D6052">
            <w:pPr>
              <w:pStyle w:val="P68B1DB1-Normal4"/>
              <w:numPr>
                <w:ilvl w:val="0"/>
                <w:numId w:val="8"/>
              </w:numPr>
              <w:jc w:val="both"/>
            </w:pPr>
            <w:r>
              <w:t>Servicios específicos de apoyo a los trabajadores fronterizos y a los empleadores en las regiones transfronterizas</w:t>
            </w:r>
          </w:p>
          <w:p w14:paraId="6E8F7E21" w14:textId="77777777" w:rsidR="0088531C" w:rsidRDefault="008D6052">
            <w:pPr>
              <w:pStyle w:val="P68B1DB1-Normal4"/>
              <w:numPr>
                <w:ilvl w:val="0"/>
                <w:numId w:val="8"/>
              </w:numPr>
              <w:jc w:val="both"/>
            </w:pPr>
            <w:r>
              <w:lastRenderedPageBreak/>
              <w:t xml:space="preserve">Apoyo a grupos específicos en el contexto </w:t>
            </w:r>
            <w:r>
              <w:t>de los regímenes de movilidad específicos de EURES</w:t>
            </w:r>
          </w:p>
          <w:p w14:paraId="11E69C3F" w14:textId="77777777" w:rsidR="0088531C" w:rsidRDefault="008D6052">
            <w:pPr>
              <w:pStyle w:val="P68B1DB1-Normal4"/>
              <w:numPr>
                <w:ilvl w:val="0"/>
                <w:numId w:val="8"/>
              </w:numPr>
              <w:jc w:val="both"/>
            </w:pPr>
            <w:r>
              <w:t>Apoyo a eventos dinámicos de contratación a través de la plataforma Europea (en línea) Job Days</w:t>
            </w:r>
          </w:p>
          <w:p w14:paraId="5704D1DC" w14:textId="77777777" w:rsidR="0088531C" w:rsidRDefault="008D6052">
            <w:pPr>
              <w:pStyle w:val="P68B1DB1-Normal4"/>
              <w:numPr>
                <w:ilvl w:val="0"/>
                <w:numId w:val="8"/>
              </w:numPr>
              <w:jc w:val="both"/>
            </w:pPr>
            <w:r>
              <w:t xml:space="preserve">Información y acceso a la asistencia posterior a la contratación, como la formación lingüística y el apoyo a </w:t>
            </w:r>
            <w:r>
              <w:t>la integración en el país de destino</w:t>
            </w:r>
          </w:p>
          <w:p w14:paraId="39C94B67" w14:textId="6D2E755A" w:rsidR="0088531C" w:rsidRDefault="0088531C">
            <w:pPr>
              <w:pStyle w:val="Prrafodelista"/>
              <w:spacing w:after="160" w:line="259" w:lineRule="auto"/>
              <w:ind w:left="720"/>
              <w:contextualSpacing/>
              <w:jc w:val="both"/>
              <w:rPr>
                <w:rFonts w:asciiTheme="minorHAnsi" w:hAnsiTheme="minorHAnsi" w:cstheme="minorHAnsi"/>
              </w:rPr>
            </w:pPr>
          </w:p>
          <w:p w14:paraId="3BDD0A7F" w14:textId="77777777" w:rsidR="0088531C" w:rsidRDefault="008D6052">
            <w:pPr>
              <w:pStyle w:val="Prrafodelista"/>
              <w:spacing w:after="160" w:line="259" w:lineRule="auto"/>
              <w:ind w:left="720"/>
              <w:contextualSpacing/>
              <w:jc w:val="both"/>
              <w:rPr>
                <w:rFonts w:asciiTheme="minorHAnsi" w:hAnsiTheme="minorHAnsi" w:cstheme="minorHAnsi"/>
              </w:rPr>
            </w:pPr>
            <w:r>
              <w:rPr>
                <w:rFonts w:asciiTheme="minorHAnsi" w:hAnsiTheme="minorHAnsi" w:cstheme="minorHAnsi"/>
              </w:rPr>
              <w:t xml:space="preserve">Fuente: </w:t>
            </w:r>
            <w:hyperlink r:id="rId16" w:history="1">
              <w:r>
                <w:rPr>
                  <w:rStyle w:val="Hipervnculo"/>
                  <w:rFonts w:asciiTheme="minorHAnsi" w:hAnsiTheme="minorHAnsi" w:cstheme="minorHAnsi"/>
                </w:rPr>
                <w:t>EURES</w:t>
              </w:r>
            </w:hyperlink>
            <w:r>
              <w:rPr>
                <w:rFonts w:asciiTheme="minorHAnsi" w:hAnsiTheme="minorHAnsi" w:cstheme="minorHAnsi"/>
              </w:rPr>
              <w:t xml:space="preserve"> </w:t>
            </w:r>
          </w:p>
          <w:p w14:paraId="2A58E925" w14:textId="77777777" w:rsidR="0088531C" w:rsidRDefault="0088531C">
            <w:pPr>
              <w:pStyle w:val="Prrafodelista"/>
              <w:spacing w:after="160" w:line="259" w:lineRule="auto"/>
              <w:ind w:left="720"/>
              <w:contextualSpacing/>
              <w:jc w:val="both"/>
              <w:rPr>
                <w:rFonts w:asciiTheme="minorHAnsi" w:hAnsiTheme="minorHAnsi" w:cstheme="minorHAnsi"/>
              </w:rPr>
            </w:pPr>
          </w:p>
          <w:p w14:paraId="3F3E45DC" w14:textId="1F2FF4BB" w:rsidR="0088531C" w:rsidRDefault="008D6052">
            <w:pPr>
              <w:pStyle w:val="P68B1DB1-Ttulo212"/>
              <w:jc w:val="both"/>
            </w:pPr>
            <w:r>
              <w:t>Unidad 5: EURES — EUROPASS — Aprender y trabajar en la UE</w:t>
            </w:r>
          </w:p>
          <w:p w14:paraId="1245EF67" w14:textId="530AE48F" w:rsidR="0088531C" w:rsidRDefault="0088531C">
            <w:pPr>
              <w:pStyle w:val="Ttulo2"/>
              <w:jc w:val="both"/>
              <w:outlineLvl w:val="1"/>
              <w:rPr>
                <w:rFonts w:asciiTheme="minorHAnsi" w:hAnsiTheme="minorHAnsi" w:cstheme="minorHAnsi"/>
                <w:b/>
                <w:sz w:val="22"/>
                <w:shd w:val="clear" w:color="auto" w:fill="FFFFFF"/>
              </w:rPr>
            </w:pPr>
          </w:p>
          <w:p w14:paraId="55369C28" w14:textId="77777777" w:rsidR="0088531C" w:rsidRDefault="008D6052">
            <w:pPr>
              <w:pStyle w:val="P68B1DB1-Ttulo38"/>
              <w:numPr>
                <w:ilvl w:val="0"/>
                <w:numId w:val="8"/>
              </w:numPr>
              <w:jc w:val="both"/>
            </w:pPr>
            <w:r>
              <w:t>Sección 5.1: El uso de EUROPASS para los proveedores de EFP</w:t>
            </w:r>
          </w:p>
          <w:p w14:paraId="70C8B614" w14:textId="2B118E7D" w:rsidR="0088531C" w:rsidRDefault="0088531C">
            <w:pPr>
              <w:pStyle w:val="Ttulo3"/>
              <w:ind w:left="720"/>
              <w:jc w:val="both"/>
              <w:outlineLvl w:val="2"/>
              <w:rPr>
                <w:rFonts w:asciiTheme="minorHAnsi" w:hAnsiTheme="minorHAnsi" w:cstheme="minorHAnsi"/>
                <w:b/>
                <w:color w:val="auto"/>
                <w:sz w:val="22"/>
                <w:shd w:val="clear" w:color="auto" w:fill="FFFFFF"/>
              </w:rPr>
            </w:pPr>
          </w:p>
          <w:p w14:paraId="652C7EC3" w14:textId="77777777" w:rsidR="0088531C" w:rsidRDefault="008D6052">
            <w:pPr>
              <w:pStyle w:val="P68B1DB1-Normal4"/>
              <w:jc w:val="both"/>
            </w:pPr>
            <w:r>
              <w:t>Como vimos para EURES, EUROPASS es también otro recurso puesto a disposición por la UE para facilitar la transición y el movimiento de trabajadores y solicitantes de empleo en el mercado laboral.</w:t>
            </w:r>
          </w:p>
          <w:p w14:paraId="7707F5D3" w14:textId="77777777" w:rsidR="0088531C" w:rsidRDefault="008D6052">
            <w:pPr>
              <w:pStyle w:val="P68B1DB1-Normal4"/>
              <w:jc w:val="both"/>
            </w:pPr>
            <w:r>
              <w:t>Europass pone a disposición un gran grupo de servicios y recursos que las personas pueden buscar para prepararse para su próximo gran paso en la vida.</w:t>
            </w:r>
          </w:p>
          <w:p w14:paraId="076E8A94" w14:textId="77777777" w:rsidR="0088531C" w:rsidRDefault="008D6052">
            <w:pPr>
              <w:pStyle w:val="P68B1DB1-Normal4"/>
              <w:jc w:val="both"/>
            </w:pPr>
            <w:r>
              <w:t>Por lo tanto, los propios proveedores de EFP deben ser muy competentes y estar familiarizados con el tip</w:t>
            </w:r>
            <w:r>
              <w:t>o de escala y alcance de dichos recursos para transferir sus conocimientos en el mejor de los casos a sus estudiantes.</w:t>
            </w:r>
          </w:p>
          <w:p w14:paraId="493A8C7E" w14:textId="15AAABAD" w:rsidR="0088531C" w:rsidRDefault="0088531C">
            <w:pPr>
              <w:jc w:val="both"/>
              <w:rPr>
                <w:rFonts w:asciiTheme="minorHAnsi" w:hAnsiTheme="minorHAnsi" w:cstheme="minorHAnsi"/>
              </w:rPr>
            </w:pPr>
          </w:p>
          <w:p w14:paraId="54879149" w14:textId="77777777" w:rsidR="0088531C" w:rsidRDefault="008D6052">
            <w:pPr>
              <w:pStyle w:val="P68B1DB1-Ttulo212"/>
              <w:jc w:val="both"/>
            </w:pPr>
            <w:r>
              <w:t>Unidad 6: Capacidades, competencias, cualificaciones y ocupaciones de la UE</w:t>
            </w:r>
          </w:p>
          <w:p w14:paraId="78C63C81" w14:textId="6FDD8704" w:rsidR="0088531C" w:rsidRDefault="0088531C">
            <w:pPr>
              <w:pStyle w:val="Ttulo2"/>
              <w:jc w:val="both"/>
              <w:outlineLvl w:val="1"/>
              <w:rPr>
                <w:rFonts w:asciiTheme="minorHAnsi" w:hAnsiTheme="minorHAnsi" w:cstheme="minorHAnsi"/>
                <w:b/>
                <w:sz w:val="22"/>
                <w:shd w:val="clear" w:color="auto" w:fill="FFFFFF"/>
              </w:rPr>
            </w:pPr>
          </w:p>
          <w:p w14:paraId="4BA33D56" w14:textId="77777777" w:rsidR="0088531C" w:rsidRDefault="008D6052">
            <w:pPr>
              <w:pStyle w:val="P68B1DB1-Ttulo38"/>
              <w:numPr>
                <w:ilvl w:val="0"/>
                <w:numId w:val="8"/>
              </w:numPr>
              <w:jc w:val="both"/>
            </w:pPr>
            <w:r>
              <w:t>Sección 6.1: El marco de la ESCO</w:t>
            </w:r>
          </w:p>
          <w:p w14:paraId="333DE7DB" w14:textId="77777777" w:rsidR="0088531C" w:rsidRDefault="0088531C">
            <w:pPr>
              <w:pStyle w:val="Ttulo3"/>
              <w:ind w:left="720"/>
              <w:jc w:val="both"/>
              <w:outlineLvl w:val="2"/>
              <w:rPr>
                <w:rFonts w:asciiTheme="minorHAnsi" w:hAnsiTheme="minorHAnsi" w:cstheme="minorHAnsi"/>
                <w:b/>
                <w:color w:val="auto"/>
                <w:sz w:val="22"/>
                <w:shd w:val="clear" w:color="auto" w:fill="FFFFFF"/>
              </w:rPr>
            </w:pPr>
          </w:p>
          <w:p w14:paraId="7E030E33" w14:textId="77777777" w:rsidR="0088531C" w:rsidRDefault="008D6052">
            <w:pPr>
              <w:pStyle w:val="P68B1DB1-Normal4"/>
              <w:jc w:val="both"/>
            </w:pPr>
            <w:r>
              <w:t>ESCO es el marco oficial de la UE para la clasificación de capacidades, competencias y ocupaciones. En términos prácticos, ESCO se utiliza como glosario oficial para describir en detalle todas las posibles ocupaciones profesionales y el tipo de habilidades</w:t>
            </w:r>
            <w:r>
              <w:t xml:space="preserve"> y competencias asociadas a ellas y que deben ser detenidas por los trabajadores.</w:t>
            </w:r>
          </w:p>
          <w:p w14:paraId="5644AE4A" w14:textId="77777777" w:rsidR="0088531C" w:rsidRDefault="008D6052">
            <w:pPr>
              <w:pStyle w:val="P68B1DB1-Normal4"/>
              <w:jc w:val="both"/>
            </w:pPr>
            <w:r>
              <w:t>Los objetivos de esta normalización son facilitar la movilidad de los trabajadores y los solicitantes de empleo en toda la UE y, al mismo tiempo, apoyar un mercado laboral in</w:t>
            </w:r>
            <w:r>
              <w:t>ternacional mucho mejor e integrado.</w:t>
            </w:r>
          </w:p>
          <w:p w14:paraId="23DF3F27" w14:textId="77777777" w:rsidR="0088531C" w:rsidRDefault="008D6052">
            <w:pPr>
              <w:pStyle w:val="P68B1DB1-Normal4"/>
              <w:jc w:val="both"/>
            </w:pPr>
            <w:r>
              <w:t>Para los proveedores de EFP, el uso de ESCO es estratégicamente relevante, ya que contribuye a enmarcar mejor el tipo de resultados de aprendizaje que necesitan los trabajadores para acceder a esa oportunidad de empleo.</w:t>
            </w:r>
          </w:p>
          <w:p w14:paraId="4F88C983" w14:textId="429DD2AA" w:rsidR="0088531C" w:rsidRDefault="0088531C">
            <w:pPr>
              <w:jc w:val="both"/>
              <w:rPr>
                <w:rFonts w:asciiTheme="minorHAnsi" w:hAnsiTheme="minorHAnsi" w:cstheme="minorHAnsi"/>
              </w:rPr>
            </w:pPr>
          </w:p>
          <w:p w14:paraId="1C2AB164" w14:textId="7DAE2A90" w:rsidR="0088531C" w:rsidRDefault="008D6052">
            <w:pPr>
              <w:pStyle w:val="P68B1DB1-Normal9"/>
              <w:jc w:val="both"/>
            </w:pPr>
            <w:r>
              <w:t>¿Por qué se necesita ESCO y cuál es su uso?</w:t>
            </w:r>
          </w:p>
          <w:p w14:paraId="1DA3C0B7" w14:textId="77777777" w:rsidR="0088531C" w:rsidRDefault="0088531C">
            <w:pPr>
              <w:jc w:val="both"/>
              <w:rPr>
                <w:rFonts w:asciiTheme="minorHAnsi" w:hAnsiTheme="minorHAnsi" w:cstheme="minorHAnsi"/>
              </w:rPr>
            </w:pPr>
          </w:p>
          <w:p w14:paraId="638E2432" w14:textId="77777777" w:rsidR="0088531C" w:rsidRDefault="008D6052">
            <w:pPr>
              <w:pStyle w:val="P68B1DB1-Normal10"/>
              <w:jc w:val="both"/>
            </w:pPr>
            <w:r>
              <w:lastRenderedPageBreak/>
              <w:t>Las clasificaciones ESCO pueden ayudar a las personas a entender con precisión:</w:t>
            </w:r>
          </w:p>
          <w:p w14:paraId="5F0F772A" w14:textId="77777777" w:rsidR="0088531C" w:rsidRDefault="008D6052">
            <w:pPr>
              <w:pStyle w:val="P68B1DB1-Normal4"/>
              <w:numPr>
                <w:ilvl w:val="0"/>
                <w:numId w:val="18"/>
              </w:numPr>
              <w:jc w:val="both"/>
            </w:pPr>
            <w:r>
              <w:t>...qué conocimientos y habilidades se requieren generalmente cuando se trabaja en una ocupación específica;</w:t>
            </w:r>
          </w:p>
          <w:p w14:paraId="6F5B80C3" w14:textId="77777777" w:rsidR="0088531C" w:rsidRDefault="008D6052">
            <w:pPr>
              <w:pStyle w:val="P68B1DB1-Normal4"/>
              <w:numPr>
                <w:ilvl w:val="0"/>
                <w:numId w:val="18"/>
              </w:numPr>
              <w:jc w:val="both"/>
            </w:pPr>
            <w:r>
              <w:t>...qué conocimientos,</w:t>
            </w:r>
            <w:r>
              <w:t xml:space="preserve"> habilidades y competencias se obtienen como resultado de una cualificación específica;</w:t>
            </w:r>
          </w:p>
          <w:p w14:paraId="2467B85F" w14:textId="2E24DD43" w:rsidR="0088531C" w:rsidRDefault="008D6052">
            <w:pPr>
              <w:pStyle w:val="P68B1DB1-Normal4"/>
              <w:numPr>
                <w:ilvl w:val="0"/>
                <w:numId w:val="18"/>
              </w:numPr>
              <w:jc w:val="both"/>
            </w:pPr>
            <w:r>
              <w:t>...qué cualificaciones son exigidas o a menudo solicitadas por los empleadores de aquellos que buscan trabajo en una ocupación específica.</w:t>
            </w:r>
          </w:p>
          <w:p w14:paraId="57491055" w14:textId="77777777" w:rsidR="0088531C" w:rsidRDefault="0088531C">
            <w:pPr>
              <w:ind w:left="720"/>
              <w:jc w:val="both"/>
              <w:rPr>
                <w:rFonts w:asciiTheme="minorHAnsi" w:hAnsiTheme="minorHAnsi" w:cstheme="minorHAnsi"/>
              </w:rPr>
            </w:pPr>
          </w:p>
          <w:p w14:paraId="6112F416" w14:textId="77777777" w:rsidR="0088531C" w:rsidRDefault="008D6052">
            <w:pPr>
              <w:pStyle w:val="P68B1DB1-Normal10"/>
              <w:jc w:val="both"/>
            </w:pPr>
            <w:r>
              <w:t>ESCO contribuye a generar va</w:t>
            </w:r>
            <w:r>
              <w:t>rias oportunidades:</w:t>
            </w:r>
          </w:p>
          <w:p w14:paraId="2F2ACC88" w14:textId="77777777" w:rsidR="0088531C" w:rsidRDefault="008D6052">
            <w:pPr>
              <w:pStyle w:val="P68B1DB1-Normal4"/>
              <w:numPr>
                <w:ilvl w:val="0"/>
                <w:numId w:val="19"/>
              </w:numPr>
              <w:jc w:val="both"/>
            </w:pPr>
            <w:r>
              <w:t>...conecta a las personas y los puestos de trabajo, al proporcionar esas palabras clave que ayudan a los CV a destacarse</w:t>
            </w:r>
          </w:p>
          <w:p w14:paraId="17F53D66" w14:textId="77777777" w:rsidR="0088531C" w:rsidRDefault="008D6052">
            <w:pPr>
              <w:pStyle w:val="P68B1DB1-Normal4"/>
              <w:numPr>
                <w:ilvl w:val="0"/>
                <w:numId w:val="19"/>
              </w:numPr>
              <w:jc w:val="both"/>
            </w:pPr>
            <w:r>
              <w:t xml:space="preserve"> ...conecta el empleo con la educación, ayudando a los educadores a obtener información sobre las habilidades y com</w:t>
            </w:r>
            <w:r>
              <w:t>petencias más demandadas</w:t>
            </w:r>
          </w:p>
          <w:p w14:paraId="36412A2D" w14:textId="2904612D" w:rsidR="0088531C" w:rsidRDefault="008D6052">
            <w:pPr>
              <w:pStyle w:val="P68B1DB1-Normal4"/>
              <w:numPr>
                <w:ilvl w:val="0"/>
                <w:numId w:val="19"/>
              </w:numPr>
              <w:jc w:val="both"/>
            </w:pPr>
            <w:r>
              <w:t>...conecta el mercado laboral internacional y aumenta las oportunidades de movilidad de los solicitantes de empleo y los trabajadores</w:t>
            </w:r>
          </w:p>
          <w:p w14:paraId="2810BC16" w14:textId="77777777" w:rsidR="0088531C" w:rsidRDefault="0088531C">
            <w:pPr>
              <w:ind w:left="720"/>
              <w:jc w:val="both"/>
              <w:rPr>
                <w:rFonts w:asciiTheme="minorHAnsi" w:hAnsiTheme="minorHAnsi" w:cstheme="minorHAnsi"/>
              </w:rPr>
            </w:pPr>
          </w:p>
          <w:p w14:paraId="533A82CC" w14:textId="77777777" w:rsidR="0088531C" w:rsidRDefault="008D6052">
            <w:pPr>
              <w:jc w:val="both"/>
              <w:rPr>
                <w:rFonts w:asciiTheme="minorHAnsi" w:hAnsiTheme="minorHAnsi" w:cstheme="minorHAnsi"/>
              </w:rPr>
            </w:pPr>
            <w:r>
              <w:rPr>
                <w:rFonts w:asciiTheme="minorHAnsi" w:hAnsiTheme="minorHAnsi" w:cstheme="minorHAnsi"/>
              </w:rPr>
              <w:t xml:space="preserve">Fuente: </w:t>
            </w:r>
            <w:hyperlink r:id="rId17" w:history="1">
              <w:r>
                <w:rPr>
                  <w:rStyle w:val="Hipervnculo"/>
                  <w:rFonts w:asciiTheme="minorHAnsi" w:hAnsiTheme="minorHAnsi" w:cstheme="minorHAnsi"/>
                </w:rPr>
                <w:t>ESCO</w:t>
              </w:r>
            </w:hyperlink>
            <w:r>
              <w:rPr>
                <w:rFonts w:asciiTheme="minorHAnsi" w:hAnsiTheme="minorHAnsi" w:cstheme="minorHAnsi"/>
              </w:rPr>
              <w:t xml:space="preserve"> </w:t>
            </w:r>
          </w:p>
          <w:p w14:paraId="2EF1E1E2" w14:textId="0BC625E9" w:rsidR="0088531C" w:rsidRDefault="0088531C">
            <w:pPr>
              <w:jc w:val="both"/>
              <w:rPr>
                <w:rFonts w:asciiTheme="minorHAnsi" w:hAnsiTheme="minorHAnsi" w:cstheme="minorHAnsi"/>
              </w:rPr>
            </w:pPr>
          </w:p>
          <w:p w14:paraId="326541FA" w14:textId="77777777" w:rsidR="0088531C" w:rsidRDefault="008D6052">
            <w:pPr>
              <w:pStyle w:val="P68B1DB1-Ttulo212"/>
              <w:jc w:val="both"/>
            </w:pPr>
            <w:r>
              <w:t xml:space="preserve">Unidad 7: Microcredenciales </w:t>
            </w:r>
          </w:p>
          <w:p w14:paraId="7A5EC388" w14:textId="77777777" w:rsidR="0088531C" w:rsidRDefault="0088531C">
            <w:pPr>
              <w:pStyle w:val="Ttulo2"/>
              <w:jc w:val="both"/>
              <w:outlineLvl w:val="1"/>
              <w:rPr>
                <w:rFonts w:asciiTheme="minorHAnsi" w:hAnsiTheme="minorHAnsi" w:cstheme="minorHAnsi"/>
                <w:b/>
                <w:sz w:val="22"/>
                <w:shd w:val="clear" w:color="auto" w:fill="FFFFFF"/>
              </w:rPr>
            </w:pPr>
          </w:p>
          <w:p w14:paraId="3747B52B" w14:textId="77777777" w:rsidR="0088531C" w:rsidRDefault="008D6052">
            <w:pPr>
              <w:pStyle w:val="P68B1DB1-Ttulo38"/>
              <w:numPr>
                <w:ilvl w:val="0"/>
                <w:numId w:val="8"/>
              </w:numPr>
              <w:jc w:val="both"/>
            </w:pPr>
            <w:r>
              <w:t>Sección 7.1: La nueva «gran cosa» del ecosistema de educación y formación</w:t>
            </w:r>
          </w:p>
          <w:p w14:paraId="4BA91C9B" w14:textId="77777777" w:rsidR="0088531C" w:rsidRDefault="0088531C">
            <w:pPr>
              <w:jc w:val="both"/>
              <w:rPr>
                <w:rFonts w:asciiTheme="minorHAnsi" w:hAnsiTheme="minorHAnsi" w:cstheme="minorHAnsi"/>
              </w:rPr>
            </w:pPr>
          </w:p>
          <w:p w14:paraId="7E275F9D" w14:textId="75AD302D" w:rsidR="0088531C" w:rsidRDefault="008D6052">
            <w:pPr>
              <w:rPr>
                <w:rFonts w:asciiTheme="minorHAnsi" w:hAnsiTheme="minorHAnsi" w:cstheme="minorHAnsi"/>
              </w:rPr>
            </w:pPr>
            <w:r>
              <w:rPr>
                <w:rFonts w:asciiTheme="minorHAnsi" w:hAnsiTheme="minorHAnsi" w:cstheme="minorHAnsi"/>
              </w:rPr>
              <w:t>Desde el comienzo tardío de la nueva década, la UE ha expresado en particular un</w:t>
            </w:r>
            <w:r>
              <w:rPr>
                <w:rFonts w:asciiTheme="minorHAnsi" w:hAnsiTheme="minorHAnsi" w:cstheme="minorHAnsi"/>
              </w:rPr>
              <w:t xml:space="preserve"> </w:t>
            </w:r>
            <w:hyperlink r:id="rId18" w:history="1">
              <w:r>
                <w:rPr>
                  <w:rStyle w:val="Hipervnculo"/>
                  <w:rFonts w:asciiTheme="minorHAnsi" w:hAnsiTheme="minorHAnsi" w:cstheme="minorHAnsi"/>
                </w:rPr>
                <w:t xml:space="preserve">enfoque renovado </w:t>
              </w:r>
            </w:hyperlink>
            <w:r>
              <w:rPr>
                <w:rFonts w:asciiTheme="minorHAnsi" w:hAnsiTheme="minorHAnsi" w:cstheme="minorHAnsi"/>
              </w:rPr>
              <w:t>de la educación y la formación apoyado por la aplicac</w:t>
            </w:r>
            <w:r>
              <w:rPr>
                <w:rFonts w:asciiTheme="minorHAnsi" w:hAnsiTheme="minorHAnsi" w:cstheme="minorHAnsi"/>
              </w:rPr>
              <w:t xml:space="preserve">ión y la puesta en práctica de las microcredenciales. </w:t>
            </w:r>
          </w:p>
          <w:p w14:paraId="101E2B55" w14:textId="77777777" w:rsidR="0088531C" w:rsidRDefault="0088531C">
            <w:pPr>
              <w:rPr>
                <w:rFonts w:asciiTheme="minorHAnsi" w:hAnsiTheme="minorHAnsi" w:cstheme="minorHAnsi"/>
              </w:rPr>
            </w:pPr>
          </w:p>
          <w:p w14:paraId="3C446948" w14:textId="77777777" w:rsidR="0088531C" w:rsidRDefault="008D6052">
            <w:pPr>
              <w:pStyle w:val="P68B1DB1-Normal4"/>
            </w:pPr>
            <w:r>
              <w:t>A diferencia de los programas de formación tradicionales (por ejemplo, diplomas y títulos, etc.), las iniciativas de formación y educación basadas en microcredenciales trabajan en un expediente muy es</w:t>
            </w:r>
            <w:r>
              <w:t>pecífico de aprendizaje y los resultados de aprendizaje asociados a él pueden lograrse durante un período de tiempo sensiblemente más corto.</w:t>
            </w:r>
          </w:p>
          <w:p w14:paraId="478C09A3" w14:textId="70710E74" w:rsidR="0088531C" w:rsidRDefault="008D6052">
            <w:pPr>
              <w:pStyle w:val="P68B1DB1-Normal4"/>
            </w:pPr>
            <w:r>
              <w:t xml:space="preserve"> </w:t>
            </w:r>
          </w:p>
          <w:p w14:paraId="625A98F1" w14:textId="2787D3C9" w:rsidR="0088531C" w:rsidRDefault="008D6052">
            <w:pPr>
              <w:pStyle w:val="P68B1DB1-Normal4"/>
            </w:pPr>
            <w:r>
              <w:t>Las microcredenciales son cada vez más populares en la UE y a nivel internacional debido al mayor grado de flexib</w:t>
            </w:r>
            <w:r>
              <w:t>ilidad que parecen garantizar y a los beneficios de su uso práctico en campos educativos muy limitados no requieren programas de formación extensos.</w:t>
            </w:r>
          </w:p>
          <w:p w14:paraId="20D49DB0" w14:textId="17B23059" w:rsidR="0088531C" w:rsidRDefault="0088531C">
            <w:pPr>
              <w:rPr>
                <w:rFonts w:asciiTheme="minorHAnsi" w:hAnsiTheme="minorHAnsi" w:cstheme="minorHAnsi"/>
              </w:rPr>
            </w:pPr>
          </w:p>
          <w:p w14:paraId="6F9AE5A5" w14:textId="7A0F6151" w:rsidR="0088531C" w:rsidRDefault="008D6052">
            <w:pPr>
              <w:pStyle w:val="P68B1DB1-Normal9"/>
            </w:pPr>
            <w:r>
              <w:t>Todavía es un concepto recién nacido</w:t>
            </w:r>
          </w:p>
          <w:p w14:paraId="3B156400" w14:textId="77777777" w:rsidR="0088531C" w:rsidRDefault="0088531C">
            <w:pPr>
              <w:rPr>
                <w:rFonts w:asciiTheme="minorHAnsi" w:hAnsiTheme="minorHAnsi" w:cstheme="minorHAnsi"/>
              </w:rPr>
            </w:pPr>
          </w:p>
          <w:p w14:paraId="45467BDB" w14:textId="77777777" w:rsidR="0088531C" w:rsidRDefault="008D6052">
            <w:pPr>
              <w:pStyle w:val="P68B1DB1-Normal4"/>
            </w:pPr>
            <w:r>
              <w:lastRenderedPageBreak/>
              <w:t>El concepto de microcredencial se encuentra todavía en una etapa muy</w:t>
            </w:r>
            <w:r>
              <w:t xml:space="preserve"> temprana de desarrollo y todavía no existe consenso sobre la definición misma de microcredencial.</w:t>
            </w:r>
          </w:p>
          <w:p w14:paraId="3C0A6231" w14:textId="4F102D79" w:rsidR="0088531C" w:rsidRDefault="008D6052">
            <w:pPr>
              <w:rPr>
                <w:rFonts w:asciiTheme="minorHAnsi" w:hAnsiTheme="minorHAnsi" w:cstheme="minorHAnsi"/>
              </w:rPr>
            </w:pPr>
            <w:r>
              <w:rPr>
                <w:rFonts w:asciiTheme="minorHAnsi" w:hAnsiTheme="minorHAnsi" w:cstheme="minorHAnsi"/>
              </w:rPr>
              <w:t xml:space="preserve">La mejor referencia disponible a partir de 2023 proviene de </w:t>
            </w:r>
            <w:hyperlink r:id="rId19" w:history="1">
              <w:r>
                <w:rPr>
                  <w:rStyle w:val="Hipervnculo"/>
                  <w:rFonts w:asciiTheme="minorHAnsi" w:hAnsiTheme="minorHAnsi" w:cstheme="minorHAnsi"/>
                </w:rPr>
                <w:t>la UNESCO</w:t>
              </w:r>
            </w:hyperlink>
            <w:r>
              <w:rPr>
                <w:rFonts w:asciiTheme="minorHAnsi" w:hAnsiTheme="minorHAnsi" w:cstheme="minorHAnsi"/>
              </w:rPr>
              <w:t>, según la cual una microcredencial:</w:t>
            </w:r>
          </w:p>
          <w:p w14:paraId="3AAD5B51" w14:textId="77777777" w:rsidR="0088531C" w:rsidRDefault="0088531C">
            <w:pPr>
              <w:rPr>
                <w:rFonts w:asciiTheme="minorHAnsi" w:hAnsiTheme="minorHAnsi" w:cstheme="minorHAnsi"/>
              </w:rPr>
            </w:pPr>
          </w:p>
          <w:p w14:paraId="7565BF46" w14:textId="77777777" w:rsidR="0088531C" w:rsidRDefault="008D6052">
            <w:pPr>
              <w:pStyle w:val="P68B1DB1-Normal4"/>
              <w:numPr>
                <w:ilvl w:val="0"/>
                <w:numId w:val="20"/>
              </w:numPr>
            </w:pPr>
            <w:r>
              <w:t>Es un registro de logros de aprendizaje enfocados que verifican lo que el alumno sabe, entiende o puede hacer</w:t>
            </w:r>
          </w:p>
          <w:p w14:paraId="5B67D996" w14:textId="77777777" w:rsidR="0088531C" w:rsidRDefault="008D6052">
            <w:pPr>
              <w:pStyle w:val="P68B1DB1-Normal4"/>
              <w:numPr>
                <w:ilvl w:val="0"/>
                <w:numId w:val="20"/>
              </w:numPr>
            </w:pPr>
            <w:r>
              <w:t>Incluye una evaluación basada en estándares claramente definidos y es otorgada por un proveedor de confianza</w:t>
            </w:r>
          </w:p>
          <w:p w14:paraId="037642CB" w14:textId="77777777" w:rsidR="0088531C" w:rsidRDefault="008D6052">
            <w:pPr>
              <w:pStyle w:val="P68B1DB1-Normal4"/>
              <w:numPr>
                <w:ilvl w:val="0"/>
                <w:numId w:val="20"/>
              </w:numPr>
            </w:pPr>
            <w:r>
              <w:t>Tiene un valor independiente y tambié</w:t>
            </w:r>
            <w:r>
              <w:t>n puede contribuir o complementar otras microcredenciales o macrocredenciales, incluso mediante el reconocimiento del aprendizaje previo.</w:t>
            </w:r>
          </w:p>
          <w:p w14:paraId="29F57DC8" w14:textId="3369F8B0" w:rsidR="0088531C" w:rsidRDefault="008D6052">
            <w:pPr>
              <w:pStyle w:val="P68B1DB1-Normal4"/>
              <w:numPr>
                <w:ilvl w:val="0"/>
                <w:numId w:val="20"/>
              </w:numPr>
            </w:pPr>
            <w:r>
              <w:t>Cumple con los estándares requeridos por la garantía de calidad pertinente</w:t>
            </w:r>
          </w:p>
          <w:p w14:paraId="3C970F76" w14:textId="77777777" w:rsidR="0088531C" w:rsidRDefault="0088531C">
            <w:pPr>
              <w:rPr>
                <w:rFonts w:asciiTheme="minorHAnsi" w:hAnsiTheme="minorHAnsi" w:cstheme="minorHAnsi"/>
                <w:b/>
              </w:rPr>
            </w:pPr>
          </w:p>
        </w:tc>
      </w:tr>
      <w:tr w:rsidR="0088531C" w14:paraId="3CC3CC66" w14:textId="77777777">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75B239"/>
            <w:vAlign w:val="center"/>
            <w:hideMark/>
          </w:tcPr>
          <w:p w14:paraId="43712AB7" w14:textId="77777777" w:rsidR="0088531C" w:rsidRDefault="008D6052">
            <w:pPr>
              <w:pStyle w:val="P68B1DB1-Normal2"/>
            </w:pPr>
            <w:r>
              <w:lastRenderedPageBreak/>
              <w:t>Glosario </w:t>
            </w:r>
          </w:p>
        </w:tc>
        <w:tc>
          <w:tcPr>
            <w:tcW w:w="6631" w:type="dxa"/>
            <w:gridSpan w:val="2"/>
            <w:tcBorders>
              <w:top w:val="single" w:sz="4" w:space="0" w:color="auto"/>
              <w:left w:val="single" w:sz="4" w:space="0" w:color="auto"/>
              <w:bottom w:val="single" w:sz="4" w:space="0" w:color="auto"/>
              <w:right w:val="single" w:sz="4" w:space="0" w:color="auto"/>
            </w:tcBorders>
          </w:tcPr>
          <w:p w14:paraId="67808CBD" w14:textId="77777777" w:rsidR="0088531C" w:rsidRDefault="0088531C">
            <w:pPr>
              <w:pStyle w:val="Prrafodelista"/>
              <w:ind w:left="360"/>
              <w:contextualSpacing/>
              <w:textAlignment w:val="baseline"/>
              <w:rPr>
                <w:rFonts w:asciiTheme="minorHAnsi" w:hAnsiTheme="minorHAnsi" w:cstheme="minorHAnsi"/>
                <w:b/>
              </w:rPr>
            </w:pPr>
          </w:p>
          <w:p w14:paraId="1B65B509" w14:textId="77777777" w:rsidR="0088531C" w:rsidRDefault="008D6052">
            <w:pPr>
              <w:pStyle w:val="P68B1DB1-Prrafodelista6"/>
              <w:numPr>
                <w:ilvl w:val="0"/>
                <w:numId w:val="3"/>
              </w:numPr>
              <w:contextualSpacing/>
              <w:textAlignment w:val="baseline"/>
            </w:pPr>
            <w:r>
              <w:t xml:space="preserve">Una microcredencial: </w:t>
            </w:r>
          </w:p>
          <w:p w14:paraId="0CCBA189" w14:textId="77777777" w:rsidR="0088531C" w:rsidRDefault="008D6052">
            <w:pPr>
              <w:pStyle w:val="P68B1DB1-Prrafodelista5"/>
              <w:numPr>
                <w:ilvl w:val="0"/>
                <w:numId w:val="3"/>
              </w:numPr>
              <w:ind w:left="1139"/>
              <w:contextualSpacing/>
              <w:textAlignment w:val="baseline"/>
            </w:pPr>
            <w:r>
              <w:t>Es un re</w:t>
            </w:r>
            <w:r>
              <w:t>gistro de logros de aprendizaje enfocados que verifican lo que el alumno sabe, entiende o puede hacer.</w:t>
            </w:r>
          </w:p>
          <w:p w14:paraId="06AF045C" w14:textId="77777777" w:rsidR="0088531C" w:rsidRDefault="008D6052">
            <w:pPr>
              <w:pStyle w:val="P68B1DB1-Prrafodelista5"/>
              <w:numPr>
                <w:ilvl w:val="0"/>
                <w:numId w:val="3"/>
              </w:numPr>
              <w:ind w:left="1139"/>
              <w:contextualSpacing/>
              <w:textAlignment w:val="baseline"/>
            </w:pPr>
            <w:r>
              <w:t>Incluye una evaluación basada en estándares claramente definidos y es otorgada por un proveedor de confianza.</w:t>
            </w:r>
          </w:p>
          <w:p w14:paraId="699F085D" w14:textId="77777777" w:rsidR="0088531C" w:rsidRDefault="008D6052">
            <w:pPr>
              <w:pStyle w:val="P68B1DB1-Prrafodelista5"/>
              <w:numPr>
                <w:ilvl w:val="0"/>
                <w:numId w:val="3"/>
              </w:numPr>
              <w:ind w:left="1139"/>
              <w:contextualSpacing/>
              <w:textAlignment w:val="baseline"/>
            </w:pPr>
            <w:r>
              <w:t xml:space="preserve">Tiene un valor independiente y también puede contribuir o complementar otras microcredenciales o macrocredenciales, incluso mediante el reconocimiento del aprendizaje previo. </w:t>
            </w:r>
          </w:p>
          <w:p w14:paraId="6BBBAEA2" w14:textId="77777777" w:rsidR="0088531C" w:rsidRDefault="008D6052">
            <w:pPr>
              <w:pStyle w:val="P68B1DB1-Prrafodelista5"/>
              <w:numPr>
                <w:ilvl w:val="0"/>
                <w:numId w:val="3"/>
              </w:numPr>
              <w:ind w:left="1139"/>
              <w:contextualSpacing/>
              <w:textAlignment w:val="baseline"/>
            </w:pPr>
            <w:r>
              <w:t xml:space="preserve">Cumple con los estándares requeridos por la garantía de calidad relevante. </w:t>
            </w:r>
          </w:p>
          <w:p w14:paraId="1377E44E" w14:textId="77777777" w:rsidR="0088531C" w:rsidRDefault="0088531C">
            <w:pPr>
              <w:pStyle w:val="Prrafodelista"/>
              <w:ind w:left="1139"/>
              <w:contextualSpacing/>
              <w:textAlignment w:val="baseline"/>
              <w:rPr>
                <w:rFonts w:asciiTheme="minorHAnsi" w:hAnsiTheme="minorHAnsi" w:cstheme="minorHAnsi"/>
              </w:rPr>
            </w:pPr>
          </w:p>
          <w:p w14:paraId="49A41BD5" w14:textId="5E5D94A5" w:rsidR="0088531C" w:rsidRDefault="008D6052">
            <w:pPr>
              <w:pStyle w:val="P68B1DB1-Prrafodelista5"/>
              <w:ind w:left="1139"/>
              <w:contextualSpacing/>
              <w:textAlignment w:val="baseline"/>
            </w:pPr>
            <w:r>
              <w:t>Fue</w:t>
            </w:r>
            <w:r>
              <w:t xml:space="preserve">nte: UNESCO </w:t>
            </w:r>
            <w:hyperlink r:id="rId20" w:history="1">
              <w:r>
                <w:t>https://unesdoc.unesco.org/in/documentViewer.xhtml?v=2.1.196&amp;id=p::usmarcdef_0000381668&amp;file=/in/rest/annotationSVC/DownloadWatermarkedAttachment/attach_import_2da68a70-ba6a-4af4-8381-bbef7425253c%3F</w:t>
              </w:r>
              <w:r>
                <w:t>_%3D381668eng.pdf&amp;locale=en&amp;multi=true&amp;ark=/ark:/48223/pf0000381668/PDF/381668eng.pdf</w:t>
              </w:r>
            </w:hyperlink>
          </w:p>
          <w:p w14:paraId="711253FD" w14:textId="77777777" w:rsidR="0088531C" w:rsidRDefault="0088531C">
            <w:pPr>
              <w:pStyle w:val="Prrafodelista"/>
              <w:ind w:left="1139"/>
              <w:contextualSpacing/>
              <w:textAlignment w:val="baseline"/>
              <w:rPr>
                <w:rFonts w:asciiTheme="minorHAnsi" w:hAnsiTheme="minorHAnsi" w:cstheme="minorHAnsi"/>
              </w:rPr>
            </w:pPr>
          </w:p>
          <w:p w14:paraId="00C7B80B" w14:textId="08EC1E85" w:rsidR="0088531C" w:rsidRDefault="0088531C">
            <w:pPr>
              <w:pStyle w:val="Prrafodelista"/>
              <w:ind w:left="360"/>
              <w:contextualSpacing/>
              <w:textAlignment w:val="baseline"/>
              <w:rPr>
                <w:rFonts w:asciiTheme="minorHAnsi" w:hAnsiTheme="minorHAnsi" w:cstheme="minorHAnsi"/>
              </w:rPr>
            </w:pPr>
          </w:p>
          <w:p w14:paraId="447FAD19" w14:textId="77777777" w:rsidR="0088531C" w:rsidRDefault="008D6052">
            <w:pPr>
              <w:pStyle w:val="P68B1DB1-Prrafodelista5"/>
              <w:numPr>
                <w:ilvl w:val="0"/>
                <w:numId w:val="3"/>
              </w:numPr>
              <w:contextualSpacing/>
              <w:textAlignment w:val="baseline"/>
            </w:pPr>
            <w:r>
              <w:rPr>
                <w:b/>
              </w:rPr>
              <w:t xml:space="preserve">MEC: </w:t>
            </w:r>
            <w:r>
              <w:t>El MEC es un marco basado en los resultados del aprendizaje de ocho niveles para todos los tipos de cualificaciones que sirve como herramienta de traducción entre los diferentes marcos nacionales de cualificaciones. Este marco contribuye a mejorar la trans</w:t>
            </w:r>
            <w:r>
              <w:t>parencia, la comparabilidad y la portabilidad de las cualificaciones de las personas y permite comparar las cualificaciones de diferentes países e instituciones.</w:t>
            </w:r>
          </w:p>
          <w:p w14:paraId="0FA2AD3A" w14:textId="77777777" w:rsidR="0088531C" w:rsidRDefault="0088531C">
            <w:pPr>
              <w:pStyle w:val="Prrafodelista"/>
              <w:ind w:left="720"/>
              <w:contextualSpacing/>
              <w:textAlignment w:val="baseline"/>
              <w:rPr>
                <w:rFonts w:asciiTheme="minorHAnsi" w:hAnsiTheme="minorHAnsi" w:cstheme="minorHAnsi"/>
                <w:b/>
              </w:rPr>
            </w:pPr>
          </w:p>
          <w:p w14:paraId="6260A9B1" w14:textId="1BF2DDFD" w:rsidR="0088531C" w:rsidRDefault="008D6052">
            <w:pPr>
              <w:pStyle w:val="P68B1DB1-Prrafodelista5"/>
              <w:ind w:left="720"/>
              <w:contextualSpacing/>
              <w:textAlignment w:val="baseline"/>
            </w:pPr>
            <w:r>
              <w:t>Fuente: Europass Unión Europea</w:t>
            </w:r>
          </w:p>
          <w:p w14:paraId="7B4C5130" w14:textId="257C412A" w:rsidR="0088531C" w:rsidRDefault="008D6052">
            <w:pPr>
              <w:pStyle w:val="Prrafodelista"/>
              <w:ind w:left="360"/>
              <w:contextualSpacing/>
              <w:textAlignment w:val="baseline"/>
              <w:rPr>
                <w:rFonts w:asciiTheme="minorHAnsi" w:hAnsiTheme="minorHAnsi" w:cstheme="minorHAnsi"/>
              </w:rPr>
            </w:pPr>
            <w:hyperlink r:id="rId21" w:history="1">
              <w:r>
                <w:rPr>
                  <w:rStyle w:val="Hipervnculo"/>
                  <w:rFonts w:asciiTheme="minorHAnsi" w:hAnsiTheme="minorHAnsi" w:cstheme="minorHAnsi"/>
                </w:rPr>
                <w:t>https://europa.eu/europass/en/europass-tools/european-qualifications-framework</w:t>
              </w:r>
            </w:hyperlink>
          </w:p>
          <w:p w14:paraId="176D06CB" w14:textId="77777777" w:rsidR="0088531C" w:rsidRDefault="0088531C">
            <w:pPr>
              <w:pStyle w:val="Prrafodelista"/>
              <w:ind w:left="360"/>
              <w:contextualSpacing/>
              <w:textAlignment w:val="baseline"/>
              <w:rPr>
                <w:rFonts w:asciiTheme="minorHAnsi" w:hAnsiTheme="minorHAnsi" w:cstheme="minorHAnsi"/>
                <w:b/>
              </w:rPr>
            </w:pPr>
          </w:p>
          <w:p w14:paraId="0A1EF6FF" w14:textId="328B4C62" w:rsidR="0088531C" w:rsidRDefault="008D6052">
            <w:pPr>
              <w:pStyle w:val="P68B1DB1-Prrafodelista5"/>
              <w:ind w:left="360"/>
              <w:contextualSpacing/>
              <w:textAlignment w:val="baseline"/>
            </w:pPr>
            <w:r>
              <w:rPr>
                <w:b/>
              </w:rPr>
              <w:t xml:space="preserve">EURES: </w:t>
            </w:r>
            <w:r>
              <w:t>Los servicios europeos de empleo (EURES) son una red europea de cooperación entre la Comisión Europea, la Autoridad Laboral Europea (ALE), el público nacional y otros servicios de empleo admitidos en todos los países de la UE, Islandia, Liechtenstein, Noru</w:t>
            </w:r>
            <w:r>
              <w:t xml:space="preserve">ega y Suiza. </w:t>
            </w:r>
          </w:p>
          <w:p w14:paraId="24FE07B2" w14:textId="77777777" w:rsidR="0088531C" w:rsidRDefault="0088531C">
            <w:pPr>
              <w:pStyle w:val="Prrafodelista"/>
              <w:ind w:left="360"/>
              <w:contextualSpacing/>
              <w:textAlignment w:val="baseline"/>
              <w:rPr>
                <w:rFonts w:asciiTheme="minorHAnsi" w:hAnsiTheme="minorHAnsi" w:cstheme="minorHAnsi"/>
              </w:rPr>
            </w:pPr>
          </w:p>
          <w:p w14:paraId="1825B9B9" w14:textId="5C77797B" w:rsidR="0088531C" w:rsidRDefault="008D6052">
            <w:pPr>
              <w:pStyle w:val="Prrafodelista"/>
              <w:ind w:left="360"/>
              <w:contextualSpacing/>
              <w:textAlignment w:val="baseline"/>
              <w:rPr>
                <w:rFonts w:asciiTheme="minorHAnsi" w:hAnsiTheme="minorHAnsi" w:cstheme="minorHAnsi"/>
              </w:rPr>
            </w:pPr>
            <w:r>
              <w:rPr>
                <w:rFonts w:asciiTheme="minorHAnsi" w:hAnsiTheme="minorHAnsi" w:cstheme="minorHAnsi"/>
              </w:rPr>
              <w:t>Fuente:</w:t>
            </w:r>
            <w:r>
              <w:t xml:space="preserve"> </w:t>
            </w:r>
            <w:r>
              <w:rPr>
                <w:rFonts w:asciiTheme="minorHAnsi" w:hAnsiTheme="minorHAnsi" w:cstheme="minorHAnsi"/>
              </w:rPr>
              <w:t>ELA (Autoridad Laboral Europea) https://www.ela.europa.eu/en/eures-network#:~:text=The%20European%20employment%20services%20(EURES,%2C%20Liechtenstein%2C%20Noruega%20 y%20Suiza.</w:t>
            </w:r>
          </w:p>
          <w:p w14:paraId="0E0FC648" w14:textId="77777777" w:rsidR="0088531C" w:rsidRDefault="0088531C">
            <w:pPr>
              <w:pStyle w:val="Prrafodelista"/>
              <w:ind w:left="360"/>
              <w:contextualSpacing/>
              <w:textAlignment w:val="baseline"/>
              <w:rPr>
                <w:rFonts w:asciiTheme="minorHAnsi" w:hAnsiTheme="minorHAnsi" w:cstheme="minorHAnsi"/>
                <w:b/>
              </w:rPr>
            </w:pPr>
          </w:p>
          <w:p w14:paraId="31677C9D" w14:textId="15C2C9EA" w:rsidR="0088531C" w:rsidRDefault="008D6052">
            <w:pPr>
              <w:pStyle w:val="P68B1DB1-Prrafodelista5"/>
              <w:ind w:left="360"/>
              <w:contextualSpacing/>
              <w:textAlignment w:val="baseline"/>
            </w:pPr>
            <w:r>
              <w:rPr>
                <w:b/>
              </w:rPr>
              <w:t xml:space="preserve">Europass: </w:t>
            </w:r>
            <w:r>
              <w:t>es un conjunto de herramientas e información</w:t>
            </w:r>
            <w:r>
              <w:t xml:space="preserve"> en línea que le ayuda a administrar cada paso de su aprendizaje y carrera. Las herramientas y la información le ayudan a comunicar sus habilidades, cualificaciones y experiencias de manera clara y coherente en toda Europa. La Comisión Europea desarrolló E</w:t>
            </w:r>
            <w:r>
              <w:t>uropass..</w:t>
            </w:r>
          </w:p>
          <w:p w14:paraId="36D93A52" w14:textId="77777777" w:rsidR="0088531C" w:rsidRDefault="0088531C">
            <w:pPr>
              <w:pStyle w:val="Prrafodelista"/>
              <w:ind w:left="360"/>
              <w:contextualSpacing/>
              <w:textAlignment w:val="baseline"/>
              <w:rPr>
                <w:rFonts w:asciiTheme="minorHAnsi" w:hAnsiTheme="minorHAnsi" w:cstheme="minorHAnsi"/>
              </w:rPr>
            </w:pPr>
          </w:p>
          <w:p w14:paraId="531C9303" w14:textId="1380F044" w:rsidR="0088531C" w:rsidRDefault="008D6052">
            <w:pPr>
              <w:pStyle w:val="Prrafodelista"/>
              <w:ind w:left="360"/>
              <w:contextualSpacing/>
              <w:textAlignment w:val="baseline"/>
              <w:rPr>
                <w:rFonts w:asciiTheme="minorHAnsi" w:hAnsiTheme="minorHAnsi" w:cstheme="minorHAnsi"/>
              </w:rPr>
            </w:pPr>
            <w:r>
              <w:rPr>
                <w:rFonts w:asciiTheme="minorHAnsi" w:hAnsiTheme="minorHAnsi" w:cstheme="minorHAnsi"/>
              </w:rPr>
              <w:t xml:space="preserve">Fuente: Europass Unión Europea </w:t>
            </w:r>
            <w:hyperlink r:id="rId22" w:history="1">
              <w:r>
                <w:rPr>
                  <w:rStyle w:val="Hipervnculo"/>
                  <w:rFonts w:asciiTheme="minorHAnsi" w:hAnsiTheme="minorHAnsi" w:cstheme="minorHAnsi"/>
                </w:rPr>
                <w:t>https://europa.eu/europass/en/what-europass-0</w:t>
              </w:r>
            </w:hyperlink>
          </w:p>
          <w:p w14:paraId="04E225B0" w14:textId="77777777" w:rsidR="0088531C" w:rsidRDefault="0088531C">
            <w:pPr>
              <w:pStyle w:val="Prrafodelista"/>
              <w:ind w:left="360"/>
              <w:contextualSpacing/>
              <w:textAlignment w:val="baseline"/>
              <w:rPr>
                <w:rFonts w:asciiTheme="minorHAnsi" w:hAnsiTheme="minorHAnsi" w:cstheme="minorHAnsi"/>
              </w:rPr>
            </w:pPr>
          </w:p>
          <w:p w14:paraId="7EAE2330" w14:textId="6829A1E1" w:rsidR="0088531C" w:rsidRDefault="0088531C">
            <w:pPr>
              <w:pStyle w:val="Prrafodelista"/>
              <w:ind w:left="360"/>
              <w:contextualSpacing/>
              <w:textAlignment w:val="baseline"/>
              <w:rPr>
                <w:rFonts w:asciiTheme="minorHAnsi" w:hAnsiTheme="minorHAnsi" w:cstheme="minorHAnsi"/>
              </w:rPr>
            </w:pPr>
          </w:p>
          <w:p w14:paraId="48D6E55B" w14:textId="6F2D1A27" w:rsidR="0088531C" w:rsidRDefault="008D6052">
            <w:pPr>
              <w:pStyle w:val="P68B1DB1-Prrafodelista5"/>
              <w:ind w:left="360"/>
              <w:contextualSpacing/>
              <w:textAlignment w:val="baseline"/>
            </w:pPr>
            <w:r>
              <w:rPr>
                <w:b/>
              </w:rPr>
              <w:t>ESCO (Capacidades, Competencias, Cualificaciones y Ocupaciones Europeas):</w:t>
            </w:r>
            <w:r>
              <w:t xml:space="preserve"> es la clasificación multilingü</w:t>
            </w:r>
            <w:r>
              <w:t xml:space="preserve">e europea de capacidades, competencias y ocupaciones.  </w:t>
            </w:r>
          </w:p>
          <w:p w14:paraId="77299DEF" w14:textId="77777777" w:rsidR="0088531C" w:rsidRDefault="0088531C">
            <w:pPr>
              <w:pStyle w:val="Prrafodelista"/>
              <w:ind w:left="360"/>
              <w:contextualSpacing/>
              <w:textAlignment w:val="baseline"/>
              <w:rPr>
                <w:rFonts w:asciiTheme="minorHAnsi" w:hAnsiTheme="minorHAnsi" w:cstheme="minorHAnsi"/>
              </w:rPr>
            </w:pPr>
          </w:p>
          <w:p w14:paraId="642A0F61" w14:textId="26F4C9D3" w:rsidR="0088531C" w:rsidRDefault="008D6052">
            <w:pPr>
              <w:pStyle w:val="P68B1DB1-Prrafodelista5"/>
              <w:ind w:left="360"/>
              <w:contextualSpacing/>
              <w:textAlignment w:val="baseline"/>
            </w:pPr>
            <w:r>
              <w:t>ESCO funciona como diccionario, describiendo, identificando y clasificando las ocupaciones profesionales y las competencias pertinentes para el mercado laboral de la UE y la educación y la formación.</w:t>
            </w:r>
          </w:p>
          <w:p w14:paraId="3C9CEAFC" w14:textId="77777777" w:rsidR="0088531C" w:rsidRDefault="0088531C">
            <w:pPr>
              <w:pStyle w:val="Prrafodelista"/>
              <w:ind w:left="360"/>
              <w:contextualSpacing/>
              <w:textAlignment w:val="baseline"/>
              <w:rPr>
                <w:rFonts w:asciiTheme="minorHAnsi" w:hAnsiTheme="minorHAnsi" w:cstheme="minorHAnsi"/>
              </w:rPr>
            </w:pPr>
          </w:p>
          <w:p w14:paraId="79D480A0" w14:textId="205FA679" w:rsidR="0088531C" w:rsidRDefault="008D6052">
            <w:pPr>
              <w:pStyle w:val="Prrafodelista"/>
              <w:ind w:left="360"/>
              <w:contextualSpacing/>
              <w:textAlignment w:val="baseline"/>
              <w:rPr>
                <w:rFonts w:asciiTheme="minorHAnsi" w:hAnsiTheme="minorHAnsi" w:cstheme="minorHAnsi"/>
              </w:rPr>
            </w:pPr>
            <w:r>
              <w:rPr>
                <w:rFonts w:asciiTheme="minorHAnsi" w:hAnsiTheme="minorHAnsi" w:cstheme="minorHAnsi"/>
              </w:rPr>
              <w:t xml:space="preserve">Fuente: Comisión Europea </w:t>
            </w:r>
            <w:hyperlink r:id="rId23" w:anchor=":~:text=ESCO%20(European%20Skills%2C%20Competences%2C,market%20and%20education%20and%20training" w:history="1">
              <w:r>
                <w:rPr>
                  <w:rStyle w:val="Hipervnculo"/>
                  <w:rFonts w:asciiTheme="minorHAnsi" w:hAnsiTheme="minorHAnsi" w:cstheme="minorHAnsi"/>
                </w:rPr>
                <w:t>https://esco.ec.europa.eu/en/about-esco/what-esco#:~:text=ESCO</w:t>
              </w:r>
              <w:r>
                <w:rPr>
                  <w:rStyle w:val="Hipervnculo"/>
                  <w:rFonts w:asciiTheme="minorHAnsi" w:hAnsiTheme="minorHAnsi" w:cstheme="minorHAnsi"/>
                </w:rPr>
                <w:t>%20(European%20Skills%2C%20Competencias%2C,market%20 y%20educación%20 y%20formación</w:t>
              </w:r>
            </w:hyperlink>
            <w:r>
              <w:rPr>
                <w:rFonts w:asciiTheme="minorHAnsi" w:hAnsiTheme="minorHAnsi" w:cstheme="minorHAnsi"/>
              </w:rPr>
              <w:t>.</w:t>
            </w:r>
          </w:p>
          <w:p w14:paraId="5A1D12C5" w14:textId="77777777" w:rsidR="0088531C" w:rsidRDefault="0088531C">
            <w:pPr>
              <w:pStyle w:val="Prrafodelista"/>
              <w:ind w:left="360"/>
              <w:contextualSpacing/>
              <w:textAlignment w:val="baseline"/>
              <w:rPr>
                <w:rFonts w:asciiTheme="minorHAnsi" w:hAnsiTheme="minorHAnsi" w:cstheme="minorHAnsi"/>
              </w:rPr>
            </w:pPr>
          </w:p>
          <w:p w14:paraId="416E3A6A" w14:textId="77777777" w:rsidR="0088531C" w:rsidRDefault="0088531C">
            <w:pPr>
              <w:pStyle w:val="Prrafodelista"/>
              <w:ind w:left="360"/>
              <w:contextualSpacing/>
              <w:textAlignment w:val="baseline"/>
              <w:rPr>
                <w:rFonts w:asciiTheme="minorHAnsi" w:hAnsiTheme="minorHAnsi" w:cstheme="minorHAnsi"/>
                <w:b/>
              </w:rPr>
            </w:pPr>
          </w:p>
        </w:tc>
      </w:tr>
      <w:tr w:rsidR="0088531C" w14:paraId="65CC4BA7" w14:textId="77777777">
        <w:trPr>
          <w:trHeight w:val="169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E85415E" w14:textId="77777777" w:rsidR="0088531C" w:rsidRDefault="008D6052">
            <w:pPr>
              <w:pStyle w:val="P68B1DB1-Normal2"/>
            </w:pPr>
            <w:r>
              <w:lastRenderedPageBreak/>
              <w:t>Autoevaluación (preguntas y respuestas de múltiples opciones)</w:t>
            </w:r>
          </w:p>
        </w:tc>
        <w:tc>
          <w:tcPr>
            <w:tcW w:w="6631" w:type="dxa"/>
            <w:gridSpan w:val="2"/>
            <w:tcBorders>
              <w:top w:val="single" w:sz="4" w:space="0" w:color="auto"/>
              <w:left w:val="single" w:sz="4" w:space="0" w:color="auto"/>
              <w:bottom w:val="single" w:sz="4" w:space="0" w:color="auto"/>
              <w:right w:val="single" w:sz="4" w:space="0" w:color="auto"/>
            </w:tcBorders>
          </w:tcPr>
          <w:p w14:paraId="68D0A610" w14:textId="1175739F" w:rsidR="0088531C" w:rsidRDefault="008D6052">
            <w:pPr>
              <w:pStyle w:val="P68B1DB1-Normal4"/>
              <w:textAlignment w:val="baseline"/>
            </w:pPr>
            <w:r>
              <w:t xml:space="preserve">1. ¿Qué es el ciclo DEMING? </w:t>
            </w:r>
          </w:p>
          <w:p w14:paraId="277FB4C4" w14:textId="77777777" w:rsidR="0088531C" w:rsidRDefault="0088531C">
            <w:pPr>
              <w:ind w:left="708"/>
              <w:textAlignment w:val="baseline"/>
              <w:rPr>
                <w:rFonts w:asciiTheme="minorHAnsi" w:hAnsiTheme="minorHAnsi" w:cstheme="minorHAnsi"/>
              </w:rPr>
            </w:pPr>
          </w:p>
          <w:p w14:paraId="69468DD4" w14:textId="1E12AE59" w:rsidR="0088531C" w:rsidRDefault="008D6052">
            <w:pPr>
              <w:pStyle w:val="P68B1DB1-Normal9"/>
              <w:textAlignment w:val="baseline"/>
            </w:pPr>
            <w:r>
              <w:t>a) Planificación → implementación → comprobación → revisión → planificación → etc.</w:t>
            </w:r>
          </w:p>
          <w:p w14:paraId="26066DE1" w14:textId="5EDCA9DF" w:rsidR="0088531C" w:rsidRDefault="008D6052">
            <w:pPr>
              <w:pStyle w:val="P68B1DB1-Normal4"/>
              <w:textAlignment w:val="baseline"/>
            </w:pPr>
            <w:r>
              <w:t>B) comprobación → implementación → planificación → revisión → planificación → etc.</w:t>
            </w:r>
          </w:p>
          <w:p w14:paraId="1B18E7F2" w14:textId="3533C3AD" w:rsidR="0088531C" w:rsidRDefault="008D6052">
            <w:pPr>
              <w:pStyle w:val="P68B1DB1-Normal4"/>
              <w:textAlignment w:val="baseline"/>
            </w:pPr>
            <w:r>
              <w:t>C) Implementación → revisión → comprobación → planificación → etc.</w:t>
            </w:r>
          </w:p>
          <w:p w14:paraId="46DAF7A2" w14:textId="77777777" w:rsidR="0088531C" w:rsidRDefault="0088531C">
            <w:pPr>
              <w:textAlignment w:val="baseline"/>
              <w:rPr>
                <w:rFonts w:asciiTheme="minorHAnsi" w:hAnsiTheme="minorHAnsi" w:cstheme="minorHAnsi"/>
              </w:rPr>
            </w:pPr>
          </w:p>
          <w:p w14:paraId="595AD47F" w14:textId="29BA2796" w:rsidR="0088531C" w:rsidRDefault="008D6052">
            <w:pPr>
              <w:pStyle w:val="P68B1DB1-Normal4"/>
              <w:textAlignment w:val="baseline"/>
            </w:pPr>
            <w:r>
              <w:lastRenderedPageBreak/>
              <w:t>2. ¿Cuál es la aplicac</w:t>
            </w:r>
            <w:r>
              <w:t xml:space="preserve">ión doble de EQAVET? </w:t>
            </w:r>
          </w:p>
          <w:p w14:paraId="0C96F364" w14:textId="77777777" w:rsidR="0088531C" w:rsidRDefault="0088531C">
            <w:pPr>
              <w:ind w:left="708"/>
              <w:textAlignment w:val="baseline"/>
              <w:rPr>
                <w:rFonts w:asciiTheme="minorHAnsi" w:hAnsiTheme="minorHAnsi" w:cstheme="minorHAnsi"/>
              </w:rPr>
            </w:pPr>
          </w:p>
          <w:p w14:paraId="16040259" w14:textId="0D91090B" w:rsidR="0088531C" w:rsidRDefault="008D6052">
            <w:pPr>
              <w:pStyle w:val="P68B1DB1-Normal9"/>
              <w:textAlignment w:val="baseline"/>
            </w:pPr>
            <w:r>
              <w:t xml:space="preserve">a) Nivel de Sistema y Práctica </w:t>
            </w:r>
          </w:p>
          <w:p w14:paraId="32DABA98" w14:textId="6F539ACA" w:rsidR="0088531C" w:rsidRDefault="008D6052">
            <w:pPr>
              <w:pStyle w:val="P68B1DB1-Normal4"/>
              <w:textAlignment w:val="baseline"/>
            </w:pPr>
            <w:r>
              <w:t>B) Nivel básico y avanzado</w:t>
            </w:r>
          </w:p>
          <w:p w14:paraId="3F5F3DB4" w14:textId="05C103B7" w:rsidR="0088531C" w:rsidRDefault="008D6052">
            <w:pPr>
              <w:pStyle w:val="P68B1DB1-Normal4"/>
              <w:textAlignment w:val="baseline"/>
            </w:pPr>
            <w:r>
              <w:t>C) Primer y segundo nivel</w:t>
            </w:r>
          </w:p>
          <w:p w14:paraId="7641FA04" w14:textId="77777777" w:rsidR="0088531C" w:rsidRDefault="0088531C">
            <w:pPr>
              <w:textAlignment w:val="baseline"/>
              <w:rPr>
                <w:rFonts w:asciiTheme="minorHAnsi" w:hAnsiTheme="minorHAnsi" w:cstheme="minorHAnsi"/>
              </w:rPr>
            </w:pPr>
          </w:p>
          <w:p w14:paraId="5C216E5A" w14:textId="605E75E5" w:rsidR="0088531C" w:rsidRDefault="008D6052">
            <w:pPr>
              <w:pStyle w:val="P68B1DB1-Normal4"/>
              <w:textAlignment w:val="baseline"/>
            </w:pPr>
            <w:r>
              <w:t xml:space="preserve">3. El MEC es: </w:t>
            </w:r>
          </w:p>
          <w:p w14:paraId="09935920" w14:textId="77777777" w:rsidR="0088531C" w:rsidRDefault="0088531C">
            <w:pPr>
              <w:ind w:left="708"/>
              <w:textAlignment w:val="baseline"/>
              <w:rPr>
                <w:rFonts w:asciiTheme="minorHAnsi" w:hAnsiTheme="minorHAnsi" w:cstheme="minorHAnsi"/>
              </w:rPr>
            </w:pPr>
          </w:p>
          <w:p w14:paraId="74CEDFB6" w14:textId="592CE23D" w:rsidR="0088531C" w:rsidRDefault="008D6052">
            <w:pPr>
              <w:pStyle w:val="P68B1DB1-Normal9"/>
              <w:textAlignment w:val="baseline"/>
            </w:pPr>
            <w:r>
              <w:t>a) Todos son correctos</w:t>
            </w:r>
          </w:p>
          <w:p w14:paraId="3F694712" w14:textId="06C0632F" w:rsidR="0088531C" w:rsidRDefault="008D6052">
            <w:pPr>
              <w:pStyle w:val="P68B1DB1-Normal4"/>
              <w:textAlignment w:val="baseline"/>
            </w:pPr>
            <w:r>
              <w:t>B) Un framewok transnacional</w:t>
            </w:r>
          </w:p>
          <w:p w14:paraId="266EBE03" w14:textId="0D7B2C29" w:rsidR="0088531C" w:rsidRDefault="008D6052">
            <w:pPr>
              <w:pStyle w:val="P68B1DB1-Normal4"/>
              <w:textAlignment w:val="baseline"/>
            </w:pPr>
            <w:r>
              <w:t>C) Actualmente adoptado por todos los Estados miembros de la UE y otros 11 país</w:t>
            </w:r>
            <w:r>
              <w:t>es</w:t>
            </w:r>
          </w:p>
          <w:p w14:paraId="160E0E19" w14:textId="77777777" w:rsidR="0088531C" w:rsidRDefault="0088531C">
            <w:pPr>
              <w:textAlignment w:val="baseline"/>
              <w:rPr>
                <w:rFonts w:asciiTheme="minorHAnsi" w:hAnsiTheme="minorHAnsi" w:cstheme="minorHAnsi"/>
              </w:rPr>
            </w:pPr>
          </w:p>
          <w:p w14:paraId="343F8F87" w14:textId="647FE49A" w:rsidR="0088531C" w:rsidRDefault="008D6052">
            <w:pPr>
              <w:pStyle w:val="P68B1DB1-Normal4"/>
              <w:textAlignment w:val="baseline"/>
            </w:pPr>
            <w:r>
              <w:t xml:space="preserve">4. ¿El Cedefop lo es? </w:t>
            </w:r>
          </w:p>
          <w:p w14:paraId="05720719" w14:textId="77777777" w:rsidR="0088531C" w:rsidRDefault="0088531C">
            <w:pPr>
              <w:ind w:left="708"/>
              <w:textAlignment w:val="baseline"/>
              <w:rPr>
                <w:rFonts w:asciiTheme="minorHAnsi" w:hAnsiTheme="minorHAnsi" w:cstheme="minorHAnsi"/>
              </w:rPr>
            </w:pPr>
          </w:p>
          <w:p w14:paraId="02E74A2B" w14:textId="77FF8C02" w:rsidR="0088531C" w:rsidRDefault="008D6052">
            <w:pPr>
              <w:pStyle w:val="P68B1DB1-Normal9"/>
              <w:textAlignment w:val="baseline"/>
            </w:pPr>
            <w:r>
              <w:t>a) Agencia de la UE para el desarrollo de la educación y la formación</w:t>
            </w:r>
          </w:p>
          <w:p w14:paraId="11E93F78" w14:textId="5351B289" w:rsidR="0088531C" w:rsidRDefault="008D6052">
            <w:pPr>
              <w:pStyle w:val="P68B1DB1-Normal4"/>
              <w:textAlignment w:val="baseline"/>
            </w:pPr>
            <w:r>
              <w:t>B) Agencia internacional para el desarrollo de la educación y la formación</w:t>
            </w:r>
          </w:p>
          <w:p w14:paraId="08F5F2A3" w14:textId="02F8E9D8" w:rsidR="0088531C" w:rsidRDefault="008D6052">
            <w:pPr>
              <w:pStyle w:val="P68B1DB1-Normal4"/>
              <w:textAlignment w:val="baseline"/>
            </w:pPr>
            <w:r>
              <w:t>C) Agencia de la UE para el empleo y la formación</w:t>
            </w:r>
          </w:p>
          <w:p w14:paraId="2D0668BE" w14:textId="77777777" w:rsidR="0088531C" w:rsidRDefault="0088531C">
            <w:pPr>
              <w:textAlignment w:val="baseline"/>
              <w:rPr>
                <w:rFonts w:asciiTheme="minorHAnsi" w:hAnsiTheme="minorHAnsi" w:cstheme="minorHAnsi"/>
              </w:rPr>
            </w:pPr>
          </w:p>
          <w:p w14:paraId="5E69FABB" w14:textId="55DEE9C4" w:rsidR="0088531C" w:rsidRDefault="008D6052">
            <w:pPr>
              <w:pStyle w:val="P68B1DB1-Normal4"/>
              <w:textAlignment w:val="baseline"/>
            </w:pPr>
            <w:r>
              <w:t xml:space="preserve">5. ¿Cuál de los siguientes es correcto? </w:t>
            </w:r>
          </w:p>
          <w:p w14:paraId="22C4B585" w14:textId="77777777" w:rsidR="0088531C" w:rsidRDefault="0088531C">
            <w:pPr>
              <w:ind w:left="708"/>
              <w:textAlignment w:val="baseline"/>
              <w:rPr>
                <w:rFonts w:asciiTheme="minorHAnsi" w:hAnsiTheme="minorHAnsi" w:cstheme="minorHAnsi"/>
              </w:rPr>
            </w:pPr>
          </w:p>
          <w:p w14:paraId="2327A6A7" w14:textId="04B8DABD" w:rsidR="0088531C" w:rsidRDefault="008D6052">
            <w:pPr>
              <w:pStyle w:val="P68B1DB1-Normal9"/>
              <w:textAlignment w:val="baseline"/>
            </w:pPr>
            <w:r>
              <w:t>a) EQAVET framework se inspira en el ciclo tradicional DEMING</w:t>
            </w:r>
          </w:p>
          <w:p w14:paraId="63FDFDDE" w14:textId="03708E3B" w:rsidR="0088531C" w:rsidRDefault="008D6052">
            <w:pPr>
              <w:pStyle w:val="P68B1DB1-Normal4"/>
              <w:textAlignment w:val="baseline"/>
            </w:pPr>
            <w:r>
              <w:t>B) EQAVET framework se inspira en el ciclo tradicional de EQAVET</w:t>
            </w:r>
          </w:p>
          <w:p w14:paraId="38C89C39" w14:textId="3C0AF223" w:rsidR="0088531C" w:rsidRDefault="008D6052">
            <w:pPr>
              <w:pStyle w:val="P68B1DB1-Normal4"/>
              <w:textAlignment w:val="baseline"/>
            </w:pPr>
            <w:r>
              <w:t>C) Todos son correctos</w:t>
            </w:r>
          </w:p>
          <w:p w14:paraId="3311A0AC" w14:textId="77777777" w:rsidR="0088531C" w:rsidRDefault="0088531C">
            <w:pPr>
              <w:textAlignment w:val="baseline"/>
              <w:rPr>
                <w:rFonts w:asciiTheme="minorHAnsi" w:hAnsiTheme="minorHAnsi" w:cstheme="minorHAnsi"/>
              </w:rPr>
            </w:pPr>
          </w:p>
          <w:p w14:paraId="109601B6" w14:textId="031E0E27" w:rsidR="0088531C" w:rsidRDefault="0088531C">
            <w:pPr>
              <w:textAlignment w:val="baseline"/>
              <w:rPr>
                <w:rFonts w:asciiTheme="minorHAnsi" w:hAnsiTheme="minorHAnsi" w:cstheme="minorHAnsi"/>
              </w:rPr>
            </w:pPr>
          </w:p>
        </w:tc>
      </w:tr>
      <w:tr w:rsidR="0088531C" w14:paraId="1493EEF8" w14:textId="77777777">
        <w:trPr>
          <w:trHeight w:val="28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97F29C5" w14:textId="659F994E" w:rsidR="0088531C" w:rsidRDefault="008D6052">
            <w:pPr>
              <w:pStyle w:val="P68B1DB1-Normal2"/>
            </w:pPr>
            <w:r>
              <w:lastRenderedPageBreak/>
              <w:t>Material d</w:t>
            </w:r>
            <w:r>
              <w:t>e referencia</w:t>
            </w:r>
          </w:p>
        </w:tc>
        <w:tc>
          <w:tcPr>
            <w:tcW w:w="6631" w:type="dxa"/>
            <w:gridSpan w:val="2"/>
            <w:tcBorders>
              <w:top w:val="single" w:sz="4" w:space="0" w:color="auto"/>
              <w:left w:val="single" w:sz="4" w:space="0" w:color="auto"/>
              <w:bottom w:val="single" w:sz="4" w:space="0" w:color="auto"/>
              <w:right w:val="single" w:sz="4" w:space="0" w:color="auto"/>
            </w:tcBorders>
          </w:tcPr>
          <w:p w14:paraId="4E725E2E" w14:textId="58B84065" w:rsidR="0088531C" w:rsidRDefault="0088531C">
            <w:pPr>
              <w:rPr>
                <w:rFonts w:asciiTheme="minorHAnsi" w:hAnsiTheme="minorHAnsi" w:cstheme="minorHAnsi"/>
              </w:rPr>
            </w:pPr>
          </w:p>
        </w:tc>
      </w:tr>
      <w:tr w:rsidR="0088531C" w14:paraId="0E45668B" w14:textId="77777777">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0A4354EC" w14:textId="77777777" w:rsidR="0088531C" w:rsidRDefault="008D6052">
            <w:pPr>
              <w:pStyle w:val="P68B1DB1-Normal2"/>
            </w:pPr>
            <w:r>
              <w:t>Recursos (vídeos, enlace de referencia) </w:t>
            </w:r>
          </w:p>
        </w:tc>
        <w:tc>
          <w:tcPr>
            <w:tcW w:w="6631" w:type="dxa"/>
            <w:gridSpan w:val="2"/>
            <w:tcBorders>
              <w:top w:val="single" w:sz="4" w:space="0" w:color="auto"/>
              <w:left w:val="single" w:sz="4" w:space="0" w:color="auto"/>
              <w:bottom w:val="single" w:sz="4" w:space="0" w:color="auto"/>
              <w:right w:val="single" w:sz="4" w:space="0" w:color="auto"/>
            </w:tcBorders>
          </w:tcPr>
          <w:p w14:paraId="541D9762" w14:textId="64342FEF" w:rsidR="0088531C" w:rsidRDefault="008D6052">
            <w:pPr>
              <w:pStyle w:val="P68B1DB1-Normal4"/>
            </w:pPr>
            <w:r>
              <w:t>20230610 — AMTECH — Co-dev de formación por IDP &amp; IHF.pptx</w:t>
            </w:r>
          </w:p>
        </w:tc>
      </w:tr>
    </w:tbl>
    <w:p w14:paraId="177B911B" w14:textId="77777777" w:rsidR="0088531C" w:rsidRDefault="0088531C">
      <w:pPr>
        <w:ind w:left="1003"/>
        <w:rPr>
          <w:rFonts w:ascii="Times New Roman" w:eastAsia="Times New Roman" w:hAnsi="Times New Roman" w:cs="Times New Roman"/>
        </w:rPr>
      </w:pPr>
    </w:p>
    <w:p w14:paraId="7A7A6B88" w14:textId="77777777" w:rsidR="0088531C" w:rsidRDefault="0088531C">
      <w:pPr>
        <w:shd w:val="clear" w:color="auto" w:fill="FFFFFF" w:themeFill="background1"/>
        <w:ind w:left="1003"/>
        <w:rPr>
          <w:color w:val="FFFFFF" w:themeColor="background1"/>
        </w:rPr>
      </w:pPr>
    </w:p>
    <w:p w14:paraId="4AD2E1E1" w14:textId="77777777" w:rsidR="0088531C" w:rsidRDefault="0088531C">
      <w:pPr>
        <w:pStyle w:val="Textoindependiente"/>
        <w:rPr>
          <w:rFonts w:ascii="Verdana"/>
          <w:sz w:val="20"/>
        </w:rPr>
      </w:pPr>
    </w:p>
    <w:sectPr w:rsidR="0088531C">
      <w:headerReference w:type="default" r:id="rId24"/>
      <w:footerReference w:type="default" r:id="rId25"/>
      <w:type w:val="continuous"/>
      <w:pgSz w:w="11910" w:h="16850"/>
      <w:pgMar w:top="0" w:right="57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ADFF" w14:textId="77777777" w:rsidR="008D6052" w:rsidRDefault="008D6052">
      <w:r>
        <w:separator/>
      </w:r>
    </w:p>
  </w:endnote>
  <w:endnote w:type="continuationSeparator" w:id="0">
    <w:p w14:paraId="7087FAF1" w14:textId="77777777" w:rsidR="008D6052" w:rsidRDefault="008D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413" w14:textId="57123D09" w:rsidR="0088531C" w:rsidRDefault="008D6052">
    <w:pPr>
      <w:pStyle w:val="Piedepgina"/>
    </w:pPr>
    <w:r>
      <w:rPr>
        <w:rStyle w:val="jsgrdq"/>
        <w:rFonts w:asciiTheme="minorHAnsi" w:hAnsiTheme="minorHAnsi" w:cstheme="minorHAnsi"/>
        <w:noProof/>
        <w:color w:val="000000"/>
        <w:sz w:val="16"/>
      </w:rPr>
      <mc:AlternateContent>
        <mc:Choice Requires="wps">
          <w:drawing>
            <wp:anchor distT="45720" distB="45720" distL="114300" distR="114300" simplePos="0" relativeHeight="251658240" behindDoc="0" locked="0" layoutInCell="1" allowOverlap="1" wp14:anchorId="394B11EE" wp14:editId="3BA20342">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headEnd/>
                        <a:tailEnd/>
                      </a:ln>
                    </wps:spPr>
                    <wps:txbx>
                      <w:txbxContent>
                        <w:p w14:paraId="237F2FE3" w14:textId="77777777" w:rsidR="0088531C" w:rsidRDefault="008D6052">
                          <w:pPr>
                            <w:pStyle w:val="P68B1DB1-Normal14"/>
                          </w:pPr>
                          <w:r>
                            <w:rPr>
                              <w:shd w:val="clear" w:color="auto" w:fill="FFFFFF"/>
                            </w:rPr>
                            <w:t>Descripción legal — Licencias Creative Commons:</w:t>
                          </w:r>
                          <w:r>
                            <w:br/>
                          </w:r>
                          <w:r>
                            <w:rPr>
                              <w:shd w:val="clear" w:color="auto" w:fill="FFFFFF"/>
                            </w:rPr>
                            <w:t>Los materiales publicados en el sitio web del proyecto AMTech están clasificados como Recursos Educativos Abiertos (REA) y pueden ser libremente (sin permiso de sus creadores): descargado, utilizado, reutiliz</w:t>
                          </w:r>
                          <w:r>
                            <w:rPr>
                              <w:shd w:val="clear" w:color="auto" w:fill="FFFFFF"/>
                            </w:rPr>
                            <w:t>ado, copiado, adaptado y compartido por los usuarios, con información sobre la fuente de su origen.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B11EE" id="_x0000_t202" coordsize="21600,21600" o:spt="202" path="m,l,21600r21600,l21600,xe">
              <v:stroke joinstyle="miter"/>
              <v:path gradientshapeok="t" o:connecttype="rect"/>
            </v:shapetype>
            <v:shape id="Cuadro de textos 2" o:spid="_x0000_s1026" type="#_x0000_t202" style="position:absolute;margin-left:305.2pt;margin-top:5.75pt;width:20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" filled="f" stroked="f">
              <v:textbox style="mso-fit-shape-to-text:t">
                <w:txbxContent>
                  <w:p w14:paraId="237F2FE3" w14:textId="77777777" w:rsidR="0088531C" w:rsidRDefault="008D6052">
                    <w:pPr>
                      <w:pStyle w:val="P68B1DB1-Normal14"/>
                    </w:pPr>
                    <w:r>
                      <w:rPr>
                        <w:shd w:val="clear" w:color="auto" w:fill="FFFFFF"/>
                      </w:rPr>
                      <w:t>Descripción legal — Licencias Creative Commons:</w:t>
                    </w:r>
                    <w:r>
                      <w:br/>
                    </w:r>
                    <w:r>
                      <w:rPr>
                        <w:shd w:val="clear" w:color="auto" w:fill="FFFFFF"/>
                      </w:rPr>
                      <w:t>Los materiales publicados en el sitio web del proyecto AMTech están clasificados como Recursos Educativos Abiertos (REA) y pueden ser libremente (sin permiso de sus creadores): descargado, utilizado, reutiliz</w:t>
                    </w:r>
                    <w:r>
                      <w:rPr>
                        <w:shd w:val="clear" w:color="auto" w:fill="FFFFFF"/>
                      </w:rPr>
                      <w:t>ado, copiado, adaptado y compartido por los usuarios, con información sobre la fuente de su origen.</w:t>
                    </w:r>
                  </w:p>
                </w:txbxContent>
              </v:textbox>
              <w10:wrap type="square"/>
            </v:shape>
          </w:pict>
        </mc:Fallback>
      </mc:AlternateContent>
    </w:r>
    <w:r>
      <w:rPr>
        <w:noProof/>
      </w:rPr>
      <w:drawing>
        <wp:anchor distT="0" distB="0" distL="114300" distR="114300" simplePos="0" relativeHeight="251661312" behindDoc="1" locked="0" layoutInCell="1" allowOverlap="1" wp14:anchorId="4720D962" wp14:editId="4EC89B58">
          <wp:simplePos x="0" y="0"/>
          <wp:positionH relativeFrom="column">
            <wp:posOffset>3281045</wp:posOffset>
          </wp:positionH>
          <wp:positionV relativeFrom="paragraph">
            <wp:posOffset>147955</wp:posOffset>
          </wp:positionV>
          <wp:extent cx="548005" cy="195580"/>
          <wp:effectExtent l="0" t="0" r="4445" b="0"/>
          <wp:wrapTight wrapText="bothSides">
            <wp:wrapPolygon edited="0">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195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jsgrdq"/>
        <w:rFonts w:asciiTheme="minorHAnsi" w:hAnsiTheme="minorHAnsi" w:cstheme="minorHAnsi"/>
        <w:noProof/>
        <w:color w:val="000000"/>
        <w:sz w:val="18"/>
      </w:rPr>
      <mc:AlternateContent>
        <mc:Choice Requires="wps">
          <w:drawing>
            <wp:anchor distT="45720" distB="45720" distL="114300" distR="114300" simplePos="0" relativeHeight="251653120" behindDoc="0" locked="0" layoutInCell="1" allowOverlap="1" wp14:anchorId="71B6284E" wp14:editId="0EF93A56">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headEnd/>
                        <a:tailEnd/>
                      </a:ln>
                    </wps:spPr>
                    <wps:txbx>
                      <w:txbxContent>
                        <w:p w14:paraId="3BADECB0" w14:textId="77777777" w:rsidR="0088531C" w:rsidRDefault="008D6052">
                          <w:pPr>
                            <w:jc w:val="both"/>
                            <w:rPr>
                              <w:sz w:val="9"/>
                            </w:rPr>
                          </w:pPr>
                          <w:r>
                            <w:rPr>
                              <w:rStyle w:val="jsgrdq"/>
                              <w:rFonts w:asciiTheme="minorHAnsi" w:hAnsiTheme="minorHAnsi" w:cstheme="minorHAnsi"/>
                              <w:color w:val="000000"/>
                              <w:sz w:val="9"/>
                            </w:rPr>
                            <w:t>«El apoyo de la Comisión Europea a la producción de esta publicación no constituye una aprobación de los contenidos que reflejan únicamente los puntos d</w:t>
                          </w:r>
                          <w:r>
                            <w:rPr>
                              <w:rStyle w:val="jsgrdq"/>
                              <w:rFonts w:asciiTheme="minorHAnsi" w:hAnsiTheme="minorHAnsi" w:cstheme="minorHAnsi"/>
                              <w:color w:val="000000"/>
                              <w:sz w:val="9"/>
                            </w:rPr>
                            <w:t>e vista de los autores, y la Comisión no puede ser considerada responsable del uso que pueda hacerse de la información contenida en ella.»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6284E" id="_x0000_s1027" type="#_x0000_t202" style="position:absolute;margin-left:76.45pt;margin-top:7.45pt;width:178.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" filled="f" stroked="f">
              <v:textbox style="mso-fit-shape-to-text:t">
                <w:txbxContent>
                  <w:p w14:paraId="3BADECB0" w14:textId="77777777" w:rsidR="0088531C" w:rsidRDefault="008D6052">
                    <w:pPr>
                      <w:jc w:val="both"/>
                      <w:rPr>
                        <w:sz w:val="9"/>
                      </w:rPr>
                    </w:pPr>
                    <w:r>
                      <w:rPr>
                        <w:rStyle w:val="jsgrdq"/>
                        <w:rFonts w:asciiTheme="minorHAnsi" w:hAnsiTheme="minorHAnsi" w:cstheme="minorHAnsi"/>
                        <w:color w:val="000000"/>
                        <w:sz w:val="9"/>
                      </w:rPr>
                      <w:t>«El apoyo de la Comisión Europea a la producción de esta publicación no constituye una aprobación de los contenidos que reflejan únicamente los puntos d</w:t>
                    </w:r>
                    <w:r>
                      <w:rPr>
                        <w:rStyle w:val="jsgrdq"/>
                        <w:rFonts w:asciiTheme="minorHAnsi" w:hAnsiTheme="minorHAnsi" w:cstheme="minorHAnsi"/>
                        <w:color w:val="000000"/>
                        <w:sz w:val="9"/>
                      </w:rPr>
                      <w:t>e vista de los autores, y la Comisión no puede ser considerada responsable del uso que pueda hacerse de la información contenida en ella.»</w:t>
                    </w:r>
                  </w:p>
                </w:txbxContent>
              </v:textbox>
              <w10:wrap type="square"/>
            </v:shape>
          </w:pict>
        </mc:Fallback>
      </mc:AlternateContent>
    </w:r>
    <w:r>
      <w:rPr>
        <w:rFonts w:asciiTheme="minorHAnsi" w:hAnsiTheme="minorHAnsi" w:cstheme="minorHAnsi"/>
        <w:noProof/>
        <w:color w:val="000000"/>
        <w:sz w:val="18"/>
      </w:rPr>
      <w:drawing>
        <wp:anchor distT="0" distB="0" distL="114300" distR="114300" simplePos="0" relativeHeight="251662336" behindDoc="1" locked="0" layoutInCell="1" allowOverlap="1" wp14:anchorId="0C3FD209" wp14:editId="00FC57B0">
          <wp:simplePos x="0" y="0"/>
          <wp:positionH relativeFrom="column">
            <wp:posOffset>238760</wp:posOffset>
          </wp:positionH>
          <wp:positionV relativeFrom="paragraph">
            <wp:posOffset>156210</wp:posOffset>
          </wp:positionV>
          <wp:extent cx="763905" cy="159385"/>
          <wp:effectExtent l="0" t="0" r="0" b="0"/>
          <wp:wrapTight wrapText="bothSides">
            <wp:wrapPolygon edited="0">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E122" w14:textId="77777777" w:rsidR="008D6052" w:rsidRDefault="008D6052">
      <w:r>
        <w:separator/>
      </w:r>
    </w:p>
  </w:footnote>
  <w:footnote w:type="continuationSeparator" w:id="0">
    <w:p w14:paraId="20D9FEDC" w14:textId="77777777" w:rsidR="008D6052" w:rsidRDefault="008D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963B" w14:textId="3F08E83E" w:rsidR="0088531C" w:rsidRDefault="008D6052">
    <w:pPr>
      <w:pStyle w:val="Textoindependiente"/>
      <w:rPr>
        <w:rFonts w:ascii="Times New Roman"/>
        <w:sz w:val="20"/>
      </w:rPr>
    </w:pPr>
    <w:r>
      <w:rPr>
        <w:noProof/>
      </w:rPr>
      <w:drawing>
        <wp:anchor distT="0" distB="0" distL="114300" distR="114300" simplePos="0" relativeHeight="251660288" behindDoc="0" locked="0" layoutInCell="1" allowOverlap="1" wp14:anchorId="53C26BE9" wp14:editId="67840534">
          <wp:simplePos x="0" y="0"/>
          <wp:positionH relativeFrom="column">
            <wp:posOffset>-99191</wp:posOffset>
          </wp:positionH>
          <wp:positionV relativeFrom="paragraph">
            <wp:posOffset>-457200</wp:posOffset>
          </wp:positionV>
          <wp:extent cx="0" cy="10783614"/>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F6E9874" wp14:editId="3F52D361">
          <wp:simplePos x="0" y="0"/>
          <wp:positionH relativeFrom="page">
            <wp:posOffset>2209800</wp:posOffset>
          </wp:positionH>
          <wp:positionV relativeFrom="page">
            <wp:posOffset>10654030</wp:posOffset>
          </wp:positionV>
          <wp:extent cx="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F6E9874" wp14:editId="3AE35C25">
          <wp:simplePos x="0" y="0"/>
          <wp:positionH relativeFrom="page">
            <wp:posOffset>612775</wp:posOffset>
          </wp:positionH>
          <wp:positionV relativeFrom="page">
            <wp:posOffset>10654030</wp:posOffset>
          </wp:positionV>
          <wp:extent cx="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F6E9874" wp14:editId="57E1FF7C">
          <wp:simplePos x="0" y="0"/>
          <wp:positionH relativeFrom="page">
            <wp:posOffset>612775</wp:posOffset>
          </wp:positionH>
          <wp:positionV relativeFrom="page">
            <wp:posOffset>10654030</wp:posOffset>
          </wp:positionV>
          <wp:extent cx="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72666138" wp14:editId="48C7FA8A">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w:p>
  <w:p w14:paraId="3A8859AB" w14:textId="472A0428" w:rsidR="0088531C" w:rsidRDefault="008D6052">
    <w:pPr>
      <w:pStyle w:val="P68B1DB1-Textoindependiente13"/>
      <w:ind w:left="3249"/>
    </w:pPr>
    <w:r>
      <w:rPr>
        <w:noProof/>
      </w:rPr>
      <w:drawing>
        <wp:anchor distT="0" distB="0" distL="114300" distR="114300" simplePos="0" relativeHeight="251654144" behindDoc="0" locked="0" layoutInCell="1" allowOverlap="1" wp14:anchorId="3FEA6D44" wp14:editId="0A3FB323">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w:r>
      <w:rPr>
        <w:noProof/>
      </w:rPr>
      <w:drawing>
        <wp:inline distT="0" distB="0" distL="0" distR="0" wp14:anchorId="2FEE2440" wp14:editId="5DF180E4">
          <wp:extent cx="2117337"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7337" cy="400050"/>
                  </a:xfrm>
                  <a:prstGeom prst="rect">
                    <a:avLst/>
                  </a:prstGeom>
                </pic:spPr>
              </pic:pic>
            </a:graphicData>
          </a:graphic>
        </wp:inline>
      </w:drawing>
    </w:r>
  </w:p>
  <w:p w14:paraId="1BE4C11A" w14:textId="77777777" w:rsidR="0088531C" w:rsidRDefault="0088531C">
    <w:pPr>
      <w:pStyle w:val="Textoindependiente"/>
      <w:spacing w:before="4"/>
      <w:rPr>
        <w:rFonts w:ascii="Times New Roman"/>
        <w:sz w:val="7"/>
      </w:rPr>
    </w:pPr>
  </w:p>
  <w:p w14:paraId="31D0BCF7" w14:textId="77777777" w:rsidR="0088531C" w:rsidRDefault="008D6052">
    <w:pPr>
      <w:pStyle w:val="Ttulo"/>
    </w:pPr>
    <w:r>
      <w:t>amtechtraining.eu</w:t>
    </w:r>
  </w:p>
  <w:p w14:paraId="4D335976" w14:textId="77777777" w:rsidR="0088531C" w:rsidRDefault="008853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D5A"/>
    <w:multiLevelType w:val="hybridMultilevel"/>
    <w:tmpl w:val="214A6D38"/>
    <w:lvl w:ilvl="0" w:tplc="773A74D8">
      <w:start w:val="7"/>
      <w:numFmt w:val="bullet"/>
      <w:lvlText w:val=""/>
      <w:lvlJc w:val="left"/>
      <w:pPr>
        <w:ind w:left="720" w:hanging="360"/>
      </w:pPr>
      <w:rPr>
        <w:rFonts w:ascii="Wingdings" w:eastAsiaTheme="majorEastAsia"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8422F2"/>
    <w:multiLevelType w:val="hybridMultilevel"/>
    <w:tmpl w:val="C3E858C0"/>
    <w:lvl w:ilvl="0" w:tplc="463A9D32">
      <w:start w:val="1"/>
      <w:numFmt w:val="bullet"/>
      <w:lvlText w:val="•"/>
      <w:lvlJc w:val="left"/>
      <w:pPr>
        <w:tabs>
          <w:tab w:val="num" w:pos="720"/>
        </w:tabs>
        <w:ind w:left="720" w:hanging="360"/>
      </w:pPr>
      <w:rPr>
        <w:rFonts w:ascii="Arial" w:hAnsi="Arial" w:hint="default"/>
      </w:rPr>
    </w:lvl>
    <w:lvl w:ilvl="1" w:tplc="1B168E94" w:tentative="1">
      <w:start w:val="1"/>
      <w:numFmt w:val="bullet"/>
      <w:lvlText w:val="•"/>
      <w:lvlJc w:val="left"/>
      <w:pPr>
        <w:tabs>
          <w:tab w:val="num" w:pos="1440"/>
        </w:tabs>
        <w:ind w:left="1440" w:hanging="360"/>
      </w:pPr>
      <w:rPr>
        <w:rFonts w:ascii="Arial" w:hAnsi="Arial" w:hint="default"/>
      </w:rPr>
    </w:lvl>
    <w:lvl w:ilvl="2" w:tplc="29F6412E" w:tentative="1">
      <w:start w:val="1"/>
      <w:numFmt w:val="bullet"/>
      <w:lvlText w:val="•"/>
      <w:lvlJc w:val="left"/>
      <w:pPr>
        <w:tabs>
          <w:tab w:val="num" w:pos="2160"/>
        </w:tabs>
        <w:ind w:left="2160" w:hanging="360"/>
      </w:pPr>
      <w:rPr>
        <w:rFonts w:ascii="Arial" w:hAnsi="Arial" w:hint="default"/>
      </w:rPr>
    </w:lvl>
    <w:lvl w:ilvl="3" w:tplc="D494AB2A" w:tentative="1">
      <w:start w:val="1"/>
      <w:numFmt w:val="bullet"/>
      <w:lvlText w:val="•"/>
      <w:lvlJc w:val="left"/>
      <w:pPr>
        <w:tabs>
          <w:tab w:val="num" w:pos="2880"/>
        </w:tabs>
        <w:ind w:left="2880" w:hanging="360"/>
      </w:pPr>
      <w:rPr>
        <w:rFonts w:ascii="Arial" w:hAnsi="Arial" w:hint="default"/>
      </w:rPr>
    </w:lvl>
    <w:lvl w:ilvl="4" w:tplc="08A2684A" w:tentative="1">
      <w:start w:val="1"/>
      <w:numFmt w:val="bullet"/>
      <w:lvlText w:val="•"/>
      <w:lvlJc w:val="left"/>
      <w:pPr>
        <w:tabs>
          <w:tab w:val="num" w:pos="3600"/>
        </w:tabs>
        <w:ind w:left="3600" w:hanging="360"/>
      </w:pPr>
      <w:rPr>
        <w:rFonts w:ascii="Arial" w:hAnsi="Arial" w:hint="default"/>
      </w:rPr>
    </w:lvl>
    <w:lvl w:ilvl="5" w:tplc="529C8554" w:tentative="1">
      <w:start w:val="1"/>
      <w:numFmt w:val="bullet"/>
      <w:lvlText w:val="•"/>
      <w:lvlJc w:val="left"/>
      <w:pPr>
        <w:tabs>
          <w:tab w:val="num" w:pos="4320"/>
        </w:tabs>
        <w:ind w:left="4320" w:hanging="360"/>
      </w:pPr>
      <w:rPr>
        <w:rFonts w:ascii="Arial" w:hAnsi="Arial" w:hint="default"/>
      </w:rPr>
    </w:lvl>
    <w:lvl w:ilvl="6" w:tplc="6B702524" w:tentative="1">
      <w:start w:val="1"/>
      <w:numFmt w:val="bullet"/>
      <w:lvlText w:val="•"/>
      <w:lvlJc w:val="left"/>
      <w:pPr>
        <w:tabs>
          <w:tab w:val="num" w:pos="5040"/>
        </w:tabs>
        <w:ind w:left="5040" w:hanging="360"/>
      </w:pPr>
      <w:rPr>
        <w:rFonts w:ascii="Arial" w:hAnsi="Arial" w:hint="default"/>
      </w:rPr>
    </w:lvl>
    <w:lvl w:ilvl="7" w:tplc="586234A6" w:tentative="1">
      <w:start w:val="1"/>
      <w:numFmt w:val="bullet"/>
      <w:lvlText w:val="•"/>
      <w:lvlJc w:val="left"/>
      <w:pPr>
        <w:tabs>
          <w:tab w:val="num" w:pos="5760"/>
        </w:tabs>
        <w:ind w:left="5760" w:hanging="360"/>
      </w:pPr>
      <w:rPr>
        <w:rFonts w:ascii="Arial" w:hAnsi="Arial" w:hint="default"/>
      </w:rPr>
    </w:lvl>
    <w:lvl w:ilvl="8" w:tplc="2E1652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32099F"/>
    <w:multiLevelType w:val="hybridMultilevel"/>
    <w:tmpl w:val="B1383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7A79"/>
    <w:multiLevelType w:val="hybridMultilevel"/>
    <w:tmpl w:val="8B54812A"/>
    <w:lvl w:ilvl="0" w:tplc="872C4A12">
      <w:start w:val="1"/>
      <w:numFmt w:val="bullet"/>
      <w:lvlText w:val="•"/>
      <w:lvlJc w:val="left"/>
      <w:pPr>
        <w:tabs>
          <w:tab w:val="num" w:pos="720"/>
        </w:tabs>
        <w:ind w:left="720" w:hanging="360"/>
      </w:pPr>
      <w:rPr>
        <w:rFonts w:ascii="Arial" w:hAnsi="Arial" w:hint="default"/>
      </w:rPr>
    </w:lvl>
    <w:lvl w:ilvl="1" w:tplc="0B9813E8" w:tentative="1">
      <w:start w:val="1"/>
      <w:numFmt w:val="bullet"/>
      <w:lvlText w:val="•"/>
      <w:lvlJc w:val="left"/>
      <w:pPr>
        <w:tabs>
          <w:tab w:val="num" w:pos="1440"/>
        </w:tabs>
        <w:ind w:left="1440" w:hanging="360"/>
      </w:pPr>
      <w:rPr>
        <w:rFonts w:ascii="Arial" w:hAnsi="Arial" w:hint="default"/>
      </w:rPr>
    </w:lvl>
    <w:lvl w:ilvl="2" w:tplc="F70651BA" w:tentative="1">
      <w:start w:val="1"/>
      <w:numFmt w:val="bullet"/>
      <w:lvlText w:val="•"/>
      <w:lvlJc w:val="left"/>
      <w:pPr>
        <w:tabs>
          <w:tab w:val="num" w:pos="2160"/>
        </w:tabs>
        <w:ind w:left="2160" w:hanging="360"/>
      </w:pPr>
      <w:rPr>
        <w:rFonts w:ascii="Arial" w:hAnsi="Arial" w:hint="default"/>
      </w:rPr>
    </w:lvl>
    <w:lvl w:ilvl="3" w:tplc="BA64047E" w:tentative="1">
      <w:start w:val="1"/>
      <w:numFmt w:val="bullet"/>
      <w:lvlText w:val="•"/>
      <w:lvlJc w:val="left"/>
      <w:pPr>
        <w:tabs>
          <w:tab w:val="num" w:pos="2880"/>
        </w:tabs>
        <w:ind w:left="2880" w:hanging="360"/>
      </w:pPr>
      <w:rPr>
        <w:rFonts w:ascii="Arial" w:hAnsi="Arial" w:hint="default"/>
      </w:rPr>
    </w:lvl>
    <w:lvl w:ilvl="4" w:tplc="CEDA095A" w:tentative="1">
      <w:start w:val="1"/>
      <w:numFmt w:val="bullet"/>
      <w:lvlText w:val="•"/>
      <w:lvlJc w:val="left"/>
      <w:pPr>
        <w:tabs>
          <w:tab w:val="num" w:pos="3600"/>
        </w:tabs>
        <w:ind w:left="3600" w:hanging="360"/>
      </w:pPr>
      <w:rPr>
        <w:rFonts w:ascii="Arial" w:hAnsi="Arial" w:hint="default"/>
      </w:rPr>
    </w:lvl>
    <w:lvl w:ilvl="5" w:tplc="FC54BFF2" w:tentative="1">
      <w:start w:val="1"/>
      <w:numFmt w:val="bullet"/>
      <w:lvlText w:val="•"/>
      <w:lvlJc w:val="left"/>
      <w:pPr>
        <w:tabs>
          <w:tab w:val="num" w:pos="4320"/>
        </w:tabs>
        <w:ind w:left="4320" w:hanging="360"/>
      </w:pPr>
      <w:rPr>
        <w:rFonts w:ascii="Arial" w:hAnsi="Arial" w:hint="default"/>
      </w:rPr>
    </w:lvl>
    <w:lvl w:ilvl="6" w:tplc="1D280326" w:tentative="1">
      <w:start w:val="1"/>
      <w:numFmt w:val="bullet"/>
      <w:lvlText w:val="•"/>
      <w:lvlJc w:val="left"/>
      <w:pPr>
        <w:tabs>
          <w:tab w:val="num" w:pos="5040"/>
        </w:tabs>
        <w:ind w:left="5040" w:hanging="360"/>
      </w:pPr>
      <w:rPr>
        <w:rFonts w:ascii="Arial" w:hAnsi="Arial" w:hint="default"/>
      </w:rPr>
    </w:lvl>
    <w:lvl w:ilvl="7" w:tplc="4238E650" w:tentative="1">
      <w:start w:val="1"/>
      <w:numFmt w:val="bullet"/>
      <w:lvlText w:val="•"/>
      <w:lvlJc w:val="left"/>
      <w:pPr>
        <w:tabs>
          <w:tab w:val="num" w:pos="5760"/>
        </w:tabs>
        <w:ind w:left="5760" w:hanging="360"/>
      </w:pPr>
      <w:rPr>
        <w:rFonts w:ascii="Arial" w:hAnsi="Arial" w:hint="default"/>
      </w:rPr>
    </w:lvl>
    <w:lvl w:ilvl="8" w:tplc="3B907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F5B2C"/>
    <w:multiLevelType w:val="hybridMultilevel"/>
    <w:tmpl w:val="DDCA29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0739"/>
    <w:multiLevelType w:val="hybridMultilevel"/>
    <w:tmpl w:val="D47E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C134D"/>
    <w:multiLevelType w:val="hybridMultilevel"/>
    <w:tmpl w:val="5D5034B8"/>
    <w:lvl w:ilvl="0" w:tplc="C812E3E0">
      <w:start w:val="1"/>
      <w:numFmt w:val="bullet"/>
      <w:lvlText w:val="•"/>
      <w:lvlJc w:val="left"/>
      <w:pPr>
        <w:tabs>
          <w:tab w:val="num" w:pos="720"/>
        </w:tabs>
        <w:ind w:left="720" w:hanging="360"/>
      </w:pPr>
      <w:rPr>
        <w:rFonts w:ascii="Arial" w:hAnsi="Arial" w:hint="default"/>
      </w:rPr>
    </w:lvl>
    <w:lvl w:ilvl="1" w:tplc="8CE4828A" w:tentative="1">
      <w:start w:val="1"/>
      <w:numFmt w:val="bullet"/>
      <w:lvlText w:val="•"/>
      <w:lvlJc w:val="left"/>
      <w:pPr>
        <w:tabs>
          <w:tab w:val="num" w:pos="1440"/>
        </w:tabs>
        <w:ind w:left="1440" w:hanging="360"/>
      </w:pPr>
      <w:rPr>
        <w:rFonts w:ascii="Arial" w:hAnsi="Arial" w:hint="default"/>
      </w:rPr>
    </w:lvl>
    <w:lvl w:ilvl="2" w:tplc="6004FD66" w:tentative="1">
      <w:start w:val="1"/>
      <w:numFmt w:val="bullet"/>
      <w:lvlText w:val="•"/>
      <w:lvlJc w:val="left"/>
      <w:pPr>
        <w:tabs>
          <w:tab w:val="num" w:pos="2160"/>
        </w:tabs>
        <w:ind w:left="2160" w:hanging="360"/>
      </w:pPr>
      <w:rPr>
        <w:rFonts w:ascii="Arial" w:hAnsi="Arial" w:hint="default"/>
      </w:rPr>
    </w:lvl>
    <w:lvl w:ilvl="3" w:tplc="BD028306" w:tentative="1">
      <w:start w:val="1"/>
      <w:numFmt w:val="bullet"/>
      <w:lvlText w:val="•"/>
      <w:lvlJc w:val="left"/>
      <w:pPr>
        <w:tabs>
          <w:tab w:val="num" w:pos="2880"/>
        </w:tabs>
        <w:ind w:left="2880" w:hanging="360"/>
      </w:pPr>
      <w:rPr>
        <w:rFonts w:ascii="Arial" w:hAnsi="Arial" w:hint="default"/>
      </w:rPr>
    </w:lvl>
    <w:lvl w:ilvl="4" w:tplc="25AECA16" w:tentative="1">
      <w:start w:val="1"/>
      <w:numFmt w:val="bullet"/>
      <w:lvlText w:val="•"/>
      <w:lvlJc w:val="left"/>
      <w:pPr>
        <w:tabs>
          <w:tab w:val="num" w:pos="3600"/>
        </w:tabs>
        <w:ind w:left="3600" w:hanging="360"/>
      </w:pPr>
      <w:rPr>
        <w:rFonts w:ascii="Arial" w:hAnsi="Arial" w:hint="default"/>
      </w:rPr>
    </w:lvl>
    <w:lvl w:ilvl="5" w:tplc="3B0EEDE6" w:tentative="1">
      <w:start w:val="1"/>
      <w:numFmt w:val="bullet"/>
      <w:lvlText w:val="•"/>
      <w:lvlJc w:val="left"/>
      <w:pPr>
        <w:tabs>
          <w:tab w:val="num" w:pos="4320"/>
        </w:tabs>
        <w:ind w:left="4320" w:hanging="360"/>
      </w:pPr>
      <w:rPr>
        <w:rFonts w:ascii="Arial" w:hAnsi="Arial" w:hint="default"/>
      </w:rPr>
    </w:lvl>
    <w:lvl w:ilvl="6" w:tplc="55647336" w:tentative="1">
      <w:start w:val="1"/>
      <w:numFmt w:val="bullet"/>
      <w:lvlText w:val="•"/>
      <w:lvlJc w:val="left"/>
      <w:pPr>
        <w:tabs>
          <w:tab w:val="num" w:pos="5040"/>
        </w:tabs>
        <w:ind w:left="5040" w:hanging="360"/>
      </w:pPr>
      <w:rPr>
        <w:rFonts w:ascii="Arial" w:hAnsi="Arial" w:hint="default"/>
      </w:rPr>
    </w:lvl>
    <w:lvl w:ilvl="7" w:tplc="46884216" w:tentative="1">
      <w:start w:val="1"/>
      <w:numFmt w:val="bullet"/>
      <w:lvlText w:val="•"/>
      <w:lvlJc w:val="left"/>
      <w:pPr>
        <w:tabs>
          <w:tab w:val="num" w:pos="5760"/>
        </w:tabs>
        <w:ind w:left="5760" w:hanging="360"/>
      </w:pPr>
      <w:rPr>
        <w:rFonts w:ascii="Arial" w:hAnsi="Arial" w:hint="default"/>
      </w:rPr>
    </w:lvl>
    <w:lvl w:ilvl="8" w:tplc="C35AF4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1F45F0"/>
    <w:multiLevelType w:val="hybridMultilevel"/>
    <w:tmpl w:val="979600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40213"/>
    <w:multiLevelType w:val="hybridMultilevel"/>
    <w:tmpl w:val="837ED714"/>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845795"/>
    <w:multiLevelType w:val="hybridMultilevel"/>
    <w:tmpl w:val="63C86C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53151"/>
    <w:multiLevelType w:val="hybridMultilevel"/>
    <w:tmpl w:val="96386088"/>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1333AF"/>
    <w:multiLevelType w:val="hybridMultilevel"/>
    <w:tmpl w:val="01800C3E"/>
    <w:lvl w:ilvl="0" w:tplc="12443D48">
      <w:start w:val="1"/>
      <w:numFmt w:val="bullet"/>
      <w:lvlText w:val="•"/>
      <w:lvlJc w:val="left"/>
      <w:pPr>
        <w:tabs>
          <w:tab w:val="num" w:pos="720"/>
        </w:tabs>
        <w:ind w:left="720" w:hanging="360"/>
      </w:pPr>
      <w:rPr>
        <w:rFonts w:ascii="Arial" w:hAnsi="Arial" w:hint="default"/>
      </w:rPr>
    </w:lvl>
    <w:lvl w:ilvl="1" w:tplc="597AF18C" w:tentative="1">
      <w:start w:val="1"/>
      <w:numFmt w:val="bullet"/>
      <w:lvlText w:val="•"/>
      <w:lvlJc w:val="left"/>
      <w:pPr>
        <w:tabs>
          <w:tab w:val="num" w:pos="1440"/>
        </w:tabs>
        <w:ind w:left="1440" w:hanging="360"/>
      </w:pPr>
      <w:rPr>
        <w:rFonts w:ascii="Arial" w:hAnsi="Arial" w:hint="default"/>
      </w:rPr>
    </w:lvl>
    <w:lvl w:ilvl="2" w:tplc="44165EF4" w:tentative="1">
      <w:start w:val="1"/>
      <w:numFmt w:val="bullet"/>
      <w:lvlText w:val="•"/>
      <w:lvlJc w:val="left"/>
      <w:pPr>
        <w:tabs>
          <w:tab w:val="num" w:pos="2160"/>
        </w:tabs>
        <w:ind w:left="2160" w:hanging="360"/>
      </w:pPr>
      <w:rPr>
        <w:rFonts w:ascii="Arial" w:hAnsi="Arial" w:hint="default"/>
      </w:rPr>
    </w:lvl>
    <w:lvl w:ilvl="3" w:tplc="50F64260" w:tentative="1">
      <w:start w:val="1"/>
      <w:numFmt w:val="bullet"/>
      <w:lvlText w:val="•"/>
      <w:lvlJc w:val="left"/>
      <w:pPr>
        <w:tabs>
          <w:tab w:val="num" w:pos="2880"/>
        </w:tabs>
        <w:ind w:left="2880" w:hanging="360"/>
      </w:pPr>
      <w:rPr>
        <w:rFonts w:ascii="Arial" w:hAnsi="Arial" w:hint="default"/>
      </w:rPr>
    </w:lvl>
    <w:lvl w:ilvl="4" w:tplc="B762D442" w:tentative="1">
      <w:start w:val="1"/>
      <w:numFmt w:val="bullet"/>
      <w:lvlText w:val="•"/>
      <w:lvlJc w:val="left"/>
      <w:pPr>
        <w:tabs>
          <w:tab w:val="num" w:pos="3600"/>
        </w:tabs>
        <w:ind w:left="3600" w:hanging="360"/>
      </w:pPr>
      <w:rPr>
        <w:rFonts w:ascii="Arial" w:hAnsi="Arial" w:hint="default"/>
      </w:rPr>
    </w:lvl>
    <w:lvl w:ilvl="5" w:tplc="7DFC9CD8" w:tentative="1">
      <w:start w:val="1"/>
      <w:numFmt w:val="bullet"/>
      <w:lvlText w:val="•"/>
      <w:lvlJc w:val="left"/>
      <w:pPr>
        <w:tabs>
          <w:tab w:val="num" w:pos="4320"/>
        </w:tabs>
        <w:ind w:left="4320" w:hanging="360"/>
      </w:pPr>
      <w:rPr>
        <w:rFonts w:ascii="Arial" w:hAnsi="Arial" w:hint="default"/>
      </w:rPr>
    </w:lvl>
    <w:lvl w:ilvl="6" w:tplc="95BCD0B6" w:tentative="1">
      <w:start w:val="1"/>
      <w:numFmt w:val="bullet"/>
      <w:lvlText w:val="•"/>
      <w:lvlJc w:val="left"/>
      <w:pPr>
        <w:tabs>
          <w:tab w:val="num" w:pos="5040"/>
        </w:tabs>
        <w:ind w:left="5040" w:hanging="360"/>
      </w:pPr>
      <w:rPr>
        <w:rFonts w:ascii="Arial" w:hAnsi="Arial" w:hint="default"/>
      </w:rPr>
    </w:lvl>
    <w:lvl w:ilvl="7" w:tplc="8C9CD494" w:tentative="1">
      <w:start w:val="1"/>
      <w:numFmt w:val="bullet"/>
      <w:lvlText w:val="•"/>
      <w:lvlJc w:val="left"/>
      <w:pPr>
        <w:tabs>
          <w:tab w:val="num" w:pos="5760"/>
        </w:tabs>
        <w:ind w:left="5760" w:hanging="360"/>
      </w:pPr>
      <w:rPr>
        <w:rFonts w:ascii="Arial" w:hAnsi="Arial" w:hint="default"/>
      </w:rPr>
    </w:lvl>
    <w:lvl w:ilvl="8" w:tplc="B6EE3F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40031E"/>
    <w:multiLevelType w:val="hybridMultilevel"/>
    <w:tmpl w:val="865E4E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B636F"/>
    <w:multiLevelType w:val="hybridMultilevel"/>
    <w:tmpl w:val="E4589378"/>
    <w:lvl w:ilvl="0" w:tplc="63120442">
      <w:start w:val="45"/>
      <w:numFmt w:val="bullet"/>
      <w:lvlText w:val=""/>
      <w:lvlJc w:val="left"/>
      <w:pPr>
        <w:ind w:left="720" w:hanging="360"/>
      </w:pPr>
      <w:rPr>
        <w:rFonts w:ascii="Wingdings" w:eastAsia="Times New Roman" w:hAnsi="Wingdings" w:cstheme="majorBidi" w:hint="default"/>
        <w:color w:val="3A3A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50252A"/>
    <w:multiLevelType w:val="hybridMultilevel"/>
    <w:tmpl w:val="E326C5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113D8"/>
    <w:multiLevelType w:val="hybridMultilevel"/>
    <w:tmpl w:val="1144AF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94D85"/>
    <w:multiLevelType w:val="hybridMultilevel"/>
    <w:tmpl w:val="73B2FAA4"/>
    <w:lvl w:ilvl="0" w:tplc="208C1D52">
      <w:start w:val="1"/>
      <w:numFmt w:val="bullet"/>
      <w:lvlText w:val="•"/>
      <w:lvlJc w:val="left"/>
      <w:pPr>
        <w:tabs>
          <w:tab w:val="num" w:pos="720"/>
        </w:tabs>
        <w:ind w:left="720" w:hanging="360"/>
      </w:pPr>
      <w:rPr>
        <w:rFonts w:ascii="Arial" w:hAnsi="Arial" w:hint="default"/>
      </w:rPr>
    </w:lvl>
    <w:lvl w:ilvl="1" w:tplc="4D66AD5A" w:tentative="1">
      <w:start w:val="1"/>
      <w:numFmt w:val="bullet"/>
      <w:lvlText w:val="•"/>
      <w:lvlJc w:val="left"/>
      <w:pPr>
        <w:tabs>
          <w:tab w:val="num" w:pos="1440"/>
        </w:tabs>
        <w:ind w:left="1440" w:hanging="360"/>
      </w:pPr>
      <w:rPr>
        <w:rFonts w:ascii="Arial" w:hAnsi="Arial" w:hint="default"/>
      </w:rPr>
    </w:lvl>
    <w:lvl w:ilvl="2" w:tplc="EE9EC01E" w:tentative="1">
      <w:start w:val="1"/>
      <w:numFmt w:val="bullet"/>
      <w:lvlText w:val="•"/>
      <w:lvlJc w:val="left"/>
      <w:pPr>
        <w:tabs>
          <w:tab w:val="num" w:pos="2160"/>
        </w:tabs>
        <w:ind w:left="2160" w:hanging="360"/>
      </w:pPr>
      <w:rPr>
        <w:rFonts w:ascii="Arial" w:hAnsi="Arial" w:hint="default"/>
      </w:rPr>
    </w:lvl>
    <w:lvl w:ilvl="3" w:tplc="C6AC2A0E" w:tentative="1">
      <w:start w:val="1"/>
      <w:numFmt w:val="bullet"/>
      <w:lvlText w:val="•"/>
      <w:lvlJc w:val="left"/>
      <w:pPr>
        <w:tabs>
          <w:tab w:val="num" w:pos="2880"/>
        </w:tabs>
        <w:ind w:left="2880" w:hanging="360"/>
      </w:pPr>
      <w:rPr>
        <w:rFonts w:ascii="Arial" w:hAnsi="Arial" w:hint="default"/>
      </w:rPr>
    </w:lvl>
    <w:lvl w:ilvl="4" w:tplc="E7DEEFFA" w:tentative="1">
      <w:start w:val="1"/>
      <w:numFmt w:val="bullet"/>
      <w:lvlText w:val="•"/>
      <w:lvlJc w:val="left"/>
      <w:pPr>
        <w:tabs>
          <w:tab w:val="num" w:pos="3600"/>
        </w:tabs>
        <w:ind w:left="3600" w:hanging="360"/>
      </w:pPr>
      <w:rPr>
        <w:rFonts w:ascii="Arial" w:hAnsi="Arial" w:hint="default"/>
      </w:rPr>
    </w:lvl>
    <w:lvl w:ilvl="5" w:tplc="0CB83AD8" w:tentative="1">
      <w:start w:val="1"/>
      <w:numFmt w:val="bullet"/>
      <w:lvlText w:val="•"/>
      <w:lvlJc w:val="left"/>
      <w:pPr>
        <w:tabs>
          <w:tab w:val="num" w:pos="4320"/>
        </w:tabs>
        <w:ind w:left="4320" w:hanging="360"/>
      </w:pPr>
      <w:rPr>
        <w:rFonts w:ascii="Arial" w:hAnsi="Arial" w:hint="default"/>
      </w:rPr>
    </w:lvl>
    <w:lvl w:ilvl="6" w:tplc="B8701006" w:tentative="1">
      <w:start w:val="1"/>
      <w:numFmt w:val="bullet"/>
      <w:lvlText w:val="•"/>
      <w:lvlJc w:val="left"/>
      <w:pPr>
        <w:tabs>
          <w:tab w:val="num" w:pos="5040"/>
        </w:tabs>
        <w:ind w:left="5040" w:hanging="360"/>
      </w:pPr>
      <w:rPr>
        <w:rFonts w:ascii="Arial" w:hAnsi="Arial" w:hint="default"/>
      </w:rPr>
    </w:lvl>
    <w:lvl w:ilvl="7" w:tplc="F3E05F0C" w:tentative="1">
      <w:start w:val="1"/>
      <w:numFmt w:val="bullet"/>
      <w:lvlText w:val="•"/>
      <w:lvlJc w:val="left"/>
      <w:pPr>
        <w:tabs>
          <w:tab w:val="num" w:pos="5760"/>
        </w:tabs>
        <w:ind w:left="5760" w:hanging="360"/>
      </w:pPr>
      <w:rPr>
        <w:rFonts w:ascii="Arial" w:hAnsi="Arial" w:hint="default"/>
      </w:rPr>
    </w:lvl>
    <w:lvl w:ilvl="8" w:tplc="D2C6AD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2311EB"/>
    <w:multiLevelType w:val="hybridMultilevel"/>
    <w:tmpl w:val="27229828"/>
    <w:lvl w:ilvl="0" w:tplc="285809A4">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EA3EF5"/>
    <w:multiLevelType w:val="hybridMultilevel"/>
    <w:tmpl w:val="03644D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8020B"/>
    <w:multiLevelType w:val="hybridMultilevel"/>
    <w:tmpl w:val="278A4C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0"/>
  </w:num>
  <w:num w:numId="5">
    <w:abstractNumId w:val="17"/>
  </w:num>
  <w:num w:numId="6">
    <w:abstractNumId w:val="15"/>
  </w:num>
  <w:num w:numId="7">
    <w:abstractNumId w:val="18"/>
  </w:num>
  <w:num w:numId="8">
    <w:abstractNumId w:val="8"/>
  </w:num>
  <w:num w:numId="9">
    <w:abstractNumId w:val="4"/>
  </w:num>
  <w:num w:numId="10">
    <w:abstractNumId w:val="9"/>
  </w:num>
  <w:num w:numId="11">
    <w:abstractNumId w:val="7"/>
  </w:num>
  <w:num w:numId="12">
    <w:abstractNumId w:val="14"/>
  </w:num>
  <w:num w:numId="13">
    <w:abstractNumId w:val="2"/>
  </w:num>
  <w:num w:numId="14">
    <w:abstractNumId w:val="12"/>
  </w:num>
  <w:num w:numId="15">
    <w:abstractNumId w:val="19"/>
  </w:num>
  <w:num w:numId="16">
    <w:abstractNumId w:val="11"/>
  </w:num>
  <w:num w:numId="17">
    <w:abstractNumId w:val="16"/>
  </w:num>
  <w:num w:numId="18">
    <w:abstractNumId w:val="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74b138">
      <v:stroke color="#74b138" weight="1.3246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73"/>
    <w:rsid w:val="0004266F"/>
    <w:rsid w:val="00047CBF"/>
    <w:rsid w:val="00094432"/>
    <w:rsid w:val="00151161"/>
    <w:rsid w:val="00183D9B"/>
    <w:rsid w:val="001A03B9"/>
    <w:rsid w:val="001B2A14"/>
    <w:rsid w:val="001B3E2A"/>
    <w:rsid w:val="001E31D6"/>
    <w:rsid w:val="0022770F"/>
    <w:rsid w:val="002370DF"/>
    <w:rsid w:val="002565A9"/>
    <w:rsid w:val="002677E0"/>
    <w:rsid w:val="0027523F"/>
    <w:rsid w:val="00281873"/>
    <w:rsid w:val="002821B2"/>
    <w:rsid w:val="002F4BEC"/>
    <w:rsid w:val="00305738"/>
    <w:rsid w:val="00355890"/>
    <w:rsid w:val="00374DA0"/>
    <w:rsid w:val="003968D0"/>
    <w:rsid w:val="003C1495"/>
    <w:rsid w:val="004129DB"/>
    <w:rsid w:val="004309C0"/>
    <w:rsid w:val="00453C95"/>
    <w:rsid w:val="00455F99"/>
    <w:rsid w:val="004847B8"/>
    <w:rsid w:val="004B32AD"/>
    <w:rsid w:val="004C4790"/>
    <w:rsid w:val="004F73C7"/>
    <w:rsid w:val="004F7783"/>
    <w:rsid w:val="00531390"/>
    <w:rsid w:val="0053788C"/>
    <w:rsid w:val="005408C9"/>
    <w:rsid w:val="00565B5C"/>
    <w:rsid w:val="005C2100"/>
    <w:rsid w:val="00621256"/>
    <w:rsid w:val="00681900"/>
    <w:rsid w:val="006D29DD"/>
    <w:rsid w:val="006D5A79"/>
    <w:rsid w:val="00716551"/>
    <w:rsid w:val="00771512"/>
    <w:rsid w:val="00851A7D"/>
    <w:rsid w:val="00866A2E"/>
    <w:rsid w:val="0088531C"/>
    <w:rsid w:val="008953C4"/>
    <w:rsid w:val="008D2914"/>
    <w:rsid w:val="008D6052"/>
    <w:rsid w:val="008F54DE"/>
    <w:rsid w:val="0094773B"/>
    <w:rsid w:val="00972606"/>
    <w:rsid w:val="0097607E"/>
    <w:rsid w:val="00A21C73"/>
    <w:rsid w:val="00A24A51"/>
    <w:rsid w:val="00A4205C"/>
    <w:rsid w:val="00A64377"/>
    <w:rsid w:val="00AD2FC4"/>
    <w:rsid w:val="00AD53AF"/>
    <w:rsid w:val="00AF6FED"/>
    <w:rsid w:val="00B0269A"/>
    <w:rsid w:val="00B44D36"/>
    <w:rsid w:val="00B554C4"/>
    <w:rsid w:val="00B55A4D"/>
    <w:rsid w:val="00B61720"/>
    <w:rsid w:val="00B663D4"/>
    <w:rsid w:val="00C03E56"/>
    <w:rsid w:val="00C579E4"/>
    <w:rsid w:val="00C70095"/>
    <w:rsid w:val="00C709C2"/>
    <w:rsid w:val="00CA5AA1"/>
    <w:rsid w:val="00CB5070"/>
    <w:rsid w:val="00CD3A66"/>
    <w:rsid w:val="00D433C1"/>
    <w:rsid w:val="00D5487A"/>
    <w:rsid w:val="00D645D5"/>
    <w:rsid w:val="00D72096"/>
    <w:rsid w:val="00DB794C"/>
    <w:rsid w:val="00DD5320"/>
    <w:rsid w:val="00DE5D48"/>
    <w:rsid w:val="00E119E0"/>
    <w:rsid w:val="00E1416C"/>
    <w:rsid w:val="00E20FA1"/>
    <w:rsid w:val="00E25F1F"/>
    <w:rsid w:val="00E260EF"/>
    <w:rsid w:val="00E80FDB"/>
    <w:rsid w:val="00F25199"/>
    <w:rsid w:val="00F34DB3"/>
    <w:rsid w:val="00F40BD2"/>
    <w:rsid w:val="00F870E7"/>
    <w:rsid w:val="00FC6807"/>
    <w:rsid w:val="00FF44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74b138">
      <v:stroke color="#74b138" weight="1.3246mm"/>
    </o:shapedefaults>
    <o:shapelayout v:ext="edit">
      <o:idmap v:ext="edit" data="1"/>
    </o:shapelayout>
  </w:shapeDefaults>
  <w:decimalSymbol w:val=","/>
  <w:listSeparator w:val=";"/>
  <w14:docId w14:val="39062A2A"/>
  <w15:docId w15:val="{19103D5B-9806-4EE4-B2D2-A869E8D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Ttulo2">
    <w:name w:val="heading 2"/>
    <w:basedOn w:val="Normal"/>
    <w:next w:val="Normal"/>
    <w:link w:val="Ttulo2Car"/>
    <w:uiPriority w:val="9"/>
    <w:unhideWhenUsed/>
    <w:qFormat/>
    <w:rsid w:val="00183D9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rPr>
  </w:style>
  <w:style w:type="paragraph" w:styleId="Ttulo3">
    <w:name w:val="heading 3"/>
    <w:basedOn w:val="Normal"/>
    <w:next w:val="Normal"/>
    <w:link w:val="Ttulo3Car"/>
    <w:uiPriority w:val="9"/>
    <w:unhideWhenUsed/>
    <w:qFormat/>
    <w:rsid w:val="00183D9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1"/>
    </w:rPr>
  </w:style>
  <w:style w:type="paragraph" w:styleId="Ttulo">
    <w:name w:val="Title"/>
    <w:basedOn w:val="Normal"/>
    <w:uiPriority w:val="10"/>
    <w:qFormat/>
    <w:pPr>
      <w:spacing w:before="99"/>
      <w:ind w:left="3846" w:right="3841"/>
      <w:jc w:val="center"/>
    </w:pPr>
    <w:rPr>
      <w:rFonts w:ascii="Verdana" w:eastAsia="Verdana" w:hAnsi="Verdana" w:cs="Verdana"/>
      <w:sz w:val="21"/>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579E4"/>
    <w:pPr>
      <w:tabs>
        <w:tab w:val="center" w:pos="4252"/>
        <w:tab w:val="right" w:pos="8504"/>
      </w:tabs>
    </w:pPr>
  </w:style>
  <w:style w:type="character" w:customStyle="1" w:styleId="EncabezadoCar">
    <w:name w:val="Encabezado Car"/>
    <w:basedOn w:val="Fuentedeprrafopredeter"/>
    <w:link w:val="Encabezado"/>
    <w:uiPriority w:val="99"/>
    <w:rsid w:val="00C579E4"/>
    <w:rPr>
      <w:rFonts w:ascii="Arial MT" w:eastAsia="Arial MT" w:hAnsi="Arial MT" w:cs="Arial MT"/>
    </w:rPr>
  </w:style>
  <w:style w:type="paragraph" w:styleId="Piedepgina">
    <w:name w:val="footer"/>
    <w:basedOn w:val="Normal"/>
    <w:link w:val="PiedepginaCar"/>
    <w:uiPriority w:val="99"/>
    <w:unhideWhenUsed/>
    <w:rsid w:val="00C579E4"/>
    <w:pPr>
      <w:tabs>
        <w:tab w:val="center" w:pos="4252"/>
        <w:tab w:val="right" w:pos="8504"/>
      </w:tabs>
    </w:pPr>
  </w:style>
  <w:style w:type="character" w:customStyle="1" w:styleId="PiedepginaCar">
    <w:name w:val="Pie de página Car"/>
    <w:basedOn w:val="Fuentedeprrafopredeter"/>
    <w:link w:val="Piedepgina"/>
    <w:uiPriority w:val="99"/>
    <w:rsid w:val="00C579E4"/>
    <w:rPr>
      <w:rFonts w:ascii="Arial MT" w:eastAsia="Arial MT" w:hAnsi="Arial MT" w:cs="Arial MT"/>
    </w:rPr>
  </w:style>
  <w:style w:type="character" w:customStyle="1" w:styleId="jsgrdq">
    <w:name w:val="jsgrdq"/>
    <w:basedOn w:val="Fuentedeprrafopredeter"/>
    <w:rsid w:val="00B554C4"/>
  </w:style>
  <w:style w:type="table" w:styleId="Tablaconcuadrcula">
    <w:name w:val="Table Grid"/>
    <w:basedOn w:val="Tablanormal"/>
    <w:uiPriority w:val="39"/>
    <w:rsid w:val="0068190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83D9B"/>
    <w:rPr>
      <w:rFonts w:asciiTheme="majorHAnsi" w:eastAsiaTheme="majorEastAsia" w:hAnsiTheme="majorHAnsi" w:cstheme="majorBidi"/>
      <w:color w:val="365F91" w:themeColor="accent1" w:themeShade="BF"/>
      <w:sz w:val="26"/>
    </w:rPr>
  </w:style>
  <w:style w:type="character" w:customStyle="1" w:styleId="Ttulo3Car">
    <w:name w:val="Título 3 Car"/>
    <w:basedOn w:val="Fuentedeprrafopredeter"/>
    <w:link w:val="Ttulo3"/>
    <w:uiPriority w:val="9"/>
    <w:rsid w:val="00183D9B"/>
    <w:rPr>
      <w:rFonts w:asciiTheme="majorHAnsi" w:eastAsiaTheme="majorEastAsia" w:hAnsiTheme="majorHAnsi" w:cstheme="majorBidi"/>
      <w:color w:val="243F60" w:themeColor="accent1" w:themeShade="7F"/>
      <w:sz w:val="24"/>
    </w:rPr>
  </w:style>
  <w:style w:type="paragraph" w:customStyle="1" w:styleId="share-end">
    <w:name w:val="share-end"/>
    <w:basedOn w:val="Normal"/>
    <w:rsid w:val="00183D9B"/>
    <w:pPr>
      <w:widowControl/>
      <w:autoSpaceDE/>
      <w:autoSpaceDN/>
      <w:spacing w:before="100" w:beforeAutospacing="1" w:after="100" w:afterAutospacing="1"/>
    </w:pPr>
    <w:rPr>
      <w:rFonts w:ascii="Times New Roman" w:eastAsia="Times New Roman" w:hAnsi="Times New Roman" w:cs="Times New Roman"/>
      <w:sz w:val="24"/>
    </w:rPr>
  </w:style>
  <w:style w:type="character" w:styleId="Textoennegrita">
    <w:name w:val="Strong"/>
    <w:basedOn w:val="Fuentedeprrafopredeter"/>
    <w:uiPriority w:val="22"/>
    <w:qFormat/>
    <w:rsid w:val="00183D9B"/>
    <w:rPr>
      <w:b/>
    </w:rPr>
  </w:style>
  <w:style w:type="character" w:styleId="Hipervnculo">
    <w:name w:val="Hyperlink"/>
    <w:basedOn w:val="Fuentedeprrafopredeter"/>
    <w:uiPriority w:val="99"/>
    <w:unhideWhenUsed/>
    <w:rsid w:val="00565B5C"/>
    <w:rPr>
      <w:color w:val="0000FF"/>
      <w:u w:val="single"/>
    </w:rPr>
  </w:style>
  <w:style w:type="character" w:styleId="Mencinsinresolver">
    <w:name w:val="Unresolved Mention"/>
    <w:basedOn w:val="Fuentedeprrafopredeter"/>
    <w:uiPriority w:val="99"/>
    <w:semiHidden/>
    <w:unhideWhenUsed/>
    <w:rsid w:val="00F40BD2"/>
    <w:rPr>
      <w:color w:val="605E5C"/>
      <w:shd w:val="clear" w:color="auto" w:fill="E1DFDD"/>
    </w:rPr>
  </w:style>
  <w:style w:type="paragraph" w:styleId="NormalWeb">
    <w:name w:val="Normal (Web)"/>
    <w:basedOn w:val="Normal"/>
    <w:uiPriority w:val="99"/>
    <w:semiHidden/>
    <w:unhideWhenUsed/>
    <w:rsid w:val="00531390"/>
    <w:pPr>
      <w:widowControl/>
      <w:autoSpaceDE/>
      <w:autoSpaceDN/>
      <w:spacing w:before="100" w:beforeAutospacing="1" w:after="100" w:afterAutospacing="1"/>
    </w:pPr>
    <w:rPr>
      <w:rFonts w:ascii="Times New Roman" w:eastAsia="Times New Roman" w:hAnsi="Times New Roman" w:cs="Times New Roman"/>
      <w:sz w:val="24"/>
    </w:rPr>
  </w:style>
  <w:style w:type="character" w:styleId="Hipervnculovisitado">
    <w:name w:val="FollowedHyperlink"/>
    <w:basedOn w:val="Fuentedeprrafopredeter"/>
    <w:uiPriority w:val="99"/>
    <w:semiHidden/>
    <w:unhideWhenUsed/>
    <w:rsid w:val="00E119E0"/>
    <w:rPr>
      <w:color w:val="800080" w:themeColor="followedHyperlink"/>
      <w:u w:val="single"/>
    </w:rPr>
  </w:style>
  <w:style w:type="paragraph" w:customStyle="1" w:styleId="P68B1DB1-Normal1">
    <w:name w:val="P68B1DB1-Normal1"/>
    <w:basedOn w:val="Normal"/>
    <w:rPr>
      <w:rFonts w:ascii="Tahoma" w:hAnsi="Tahoma" w:cs="Tahoma"/>
      <w:b/>
      <w:color w:val="75B239"/>
      <w:sz w:val="40"/>
    </w:rPr>
  </w:style>
  <w:style w:type="paragraph" w:customStyle="1" w:styleId="P68B1DB1-Normal2">
    <w:name w:val="P68B1DB1-Normal2"/>
    <w:basedOn w:val="Normal"/>
    <w:rPr>
      <w:rFonts w:asciiTheme="minorHAnsi" w:hAnsiTheme="minorHAnsi" w:cstheme="minorHAnsi"/>
      <w:b/>
      <w:color w:val="FFFFFF" w:themeColor="background1"/>
      <w:sz w:val="24"/>
    </w:rPr>
  </w:style>
  <w:style w:type="paragraph" w:customStyle="1" w:styleId="P68B1DB1-Normal3">
    <w:name w:val="P68B1DB1-Normal3"/>
    <w:basedOn w:val="Normal"/>
    <w:rPr>
      <w:rFonts w:asciiTheme="minorHAnsi" w:hAnsiTheme="minorHAnsi" w:cstheme="minorHAnsi"/>
      <w:b/>
      <w:i/>
    </w:rPr>
  </w:style>
  <w:style w:type="paragraph" w:customStyle="1" w:styleId="P68B1DB1-Normal4">
    <w:name w:val="P68B1DB1-Normal4"/>
    <w:basedOn w:val="Normal"/>
    <w:rPr>
      <w:rFonts w:asciiTheme="minorHAnsi" w:hAnsiTheme="minorHAnsi" w:cstheme="minorHAnsi"/>
    </w:rPr>
  </w:style>
  <w:style w:type="paragraph" w:customStyle="1" w:styleId="P68B1DB1-Prrafodelista5">
    <w:name w:val="P68B1DB1-Prrafodelista5"/>
    <w:basedOn w:val="Prrafodelista"/>
    <w:rPr>
      <w:rFonts w:asciiTheme="minorHAnsi" w:hAnsiTheme="minorHAnsi" w:cstheme="minorHAnsi"/>
    </w:rPr>
  </w:style>
  <w:style w:type="paragraph" w:customStyle="1" w:styleId="P68B1DB1-Prrafodelista6">
    <w:name w:val="P68B1DB1-Prrafodelista6"/>
    <w:basedOn w:val="Prrafodelista"/>
    <w:rPr>
      <w:rFonts w:asciiTheme="minorHAnsi" w:hAnsiTheme="minorHAnsi" w:cstheme="minorHAnsi"/>
      <w:b/>
    </w:rPr>
  </w:style>
  <w:style w:type="paragraph" w:customStyle="1" w:styleId="P68B1DB1-Normal7">
    <w:name w:val="P68B1DB1-Normal7"/>
    <w:basedOn w:val="Normal"/>
    <w:rPr>
      <w:b/>
    </w:rPr>
  </w:style>
  <w:style w:type="paragraph" w:customStyle="1" w:styleId="P68B1DB1-Ttulo38">
    <w:name w:val="P68B1DB1-Ttulo38"/>
    <w:basedOn w:val="Ttulo3"/>
    <w:rPr>
      <w:rFonts w:asciiTheme="minorHAnsi" w:eastAsia="Times New Roman" w:hAnsiTheme="minorHAnsi" w:cstheme="minorHAnsi"/>
      <w:b/>
      <w:color w:val="auto"/>
      <w:sz w:val="22"/>
      <w:shd w:val="clear" w:color="auto" w:fill="FFFFFF"/>
    </w:rPr>
  </w:style>
  <w:style w:type="paragraph" w:customStyle="1" w:styleId="P68B1DB1-Normal9">
    <w:name w:val="P68B1DB1-Normal9"/>
    <w:basedOn w:val="Normal"/>
    <w:rPr>
      <w:rFonts w:asciiTheme="minorHAnsi" w:hAnsiTheme="minorHAnsi" w:cstheme="minorHAnsi"/>
      <w:b/>
    </w:rPr>
  </w:style>
  <w:style w:type="paragraph" w:customStyle="1" w:styleId="P68B1DB1-Normal10">
    <w:name w:val="P68B1DB1-Normal10"/>
    <w:basedOn w:val="Normal"/>
    <w:rPr>
      <w:rFonts w:asciiTheme="minorHAnsi" w:hAnsiTheme="minorHAnsi" w:cstheme="minorHAnsi"/>
      <w:b/>
      <w:u w:val="single"/>
    </w:rPr>
  </w:style>
  <w:style w:type="paragraph" w:customStyle="1" w:styleId="P68B1DB1-Normal11">
    <w:name w:val="P68B1DB1-Normal11"/>
    <w:basedOn w:val="Normal"/>
    <w:rPr>
      <w:rFonts w:asciiTheme="minorHAnsi" w:hAnsiTheme="minorHAnsi" w:cstheme="minorHAnsi"/>
      <w:shd w:val="clear" w:color="auto" w:fill="FFFFFF"/>
    </w:rPr>
  </w:style>
  <w:style w:type="paragraph" w:customStyle="1" w:styleId="P68B1DB1-Ttulo212">
    <w:name w:val="P68B1DB1-Ttulo212"/>
    <w:basedOn w:val="Ttulo2"/>
    <w:rPr>
      <w:rFonts w:asciiTheme="minorHAnsi" w:eastAsia="Times New Roman" w:hAnsiTheme="minorHAnsi" w:cstheme="minorHAnsi"/>
      <w:b/>
      <w:color w:val="auto"/>
      <w:sz w:val="22"/>
      <w:shd w:val="clear" w:color="auto" w:fill="FFFFFF"/>
    </w:rPr>
  </w:style>
  <w:style w:type="paragraph" w:customStyle="1" w:styleId="P68B1DB1-Textoindependiente13">
    <w:name w:val="P68B1DB1-Textoindependiente13"/>
    <w:basedOn w:val="Textoindependiente"/>
    <w:rPr>
      <w:rFonts w:ascii="Times New Roman"/>
      <w:sz w:val="20"/>
    </w:rPr>
  </w:style>
  <w:style w:type="paragraph" w:customStyle="1" w:styleId="P68B1DB1-Normal14">
    <w:name w:val="P68B1DB1-Normal14"/>
    <w:basedOn w:val="Normal"/>
    <w:rPr>
      <w:rFonts w:asciiTheme="minorHAnsi" w:hAnsiTheme="minorHAnsi" w:cstheme="minorHAnsi"/>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4155">
      <w:bodyDiv w:val="1"/>
      <w:marLeft w:val="0"/>
      <w:marRight w:val="0"/>
      <w:marTop w:val="0"/>
      <w:marBottom w:val="0"/>
      <w:divBdr>
        <w:top w:val="none" w:sz="0" w:space="0" w:color="auto"/>
        <w:left w:val="none" w:sz="0" w:space="0" w:color="auto"/>
        <w:bottom w:val="none" w:sz="0" w:space="0" w:color="auto"/>
        <w:right w:val="none" w:sz="0" w:space="0" w:color="auto"/>
      </w:divBdr>
    </w:div>
    <w:div w:id="66806636">
      <w:bodyDiv w:val="1"/>
      <w:marLeft w:val="0"/>
      <w:marRight w:val="0"/>
      <w:marTop w:val="0"/>
      <w:marBottom w:val="0"/>
      <w:divBdr>
        <w:top w:val="none" w:sz="0" w:space="0" w:color="auto"/>
        <w:left w:val="none" w:sz="0" w:space="0" w:color="auto"/>
        <w:bottom w:val="none" w:sz="0" w:space="0" w:color="auto"/>
        <w:right w:val="none" w:sz="0" w:space="0" w:color="auto"/>
      </w:divBdr>
    </w:div>
    <w:div w:id="103693484">
      <w:bodyDiv w:val="1"/>
      <w:marLeft w:val="0"/>
      <w:marRight w:val="0"/>
      <w:marTop w:val="0"/>
      <w:marBottom w:val="0"/>
      <w:divBdr>
        <w:top w:val="none" w:sz="0" w:space="0" w:color="auto"/>
        <w:left w:val="none" w:sz="0" w:space="0" w:color="auto"/>
        <w:bottom w:val="none" w:sz="0" w:space="0" w:color="auto"/>
        <w:right w:val="none" w:sz="0" w:space="0" w:color="auto"/>
      </w:divBdr>
    </w:div>
    <w:div w:id="140511523">
      <w:bodyDiv w:val="1"/>
      <w:marLeft w:val="0"/>
      <w:marRight w:val="0"/>
      <w:marTop w:val="0"/>
      <w:marBottom w:val="0"/>
      <w:divBdr>
        <w:top w:val="none" w:sz="0" w:space="0" w:color="auto"/>
        <w:left w:val="none" w:sz="0" w:space="0" w:color="auto"/>
        <w:bottom w:val="none" w:sz="0" w:space="0" w:color="auto"/>
        <w:right w:val="none" w:sz="0" w:space="0" w:color="auto"/>
      </w:divBdr>
      <w:divsChild>
        <w:div w:id="1388652341">
          <w:marLeft w:val="720"/>
          <w:marRight w:val="0"/>
          <w:marTop w:val="0"/>
          <w:marBottom w:val="0"/>
          <w:divBdr>
            <w:top w:val="none" w:sz="0" w:space="0" w:color="auto"/>
            <w:left w:val="none" w:sz="0" w:space="0" w:color="auto"/>
            <w:bottom w:val="none" w:sz="0" w:space="0" w:color="auto"/>
            <w:right w:val="none" w:sz="0" w:space="0" w:color="auto"/>
          </w:divBdr>
        </w:div>
        <w:div w:id="798259477">
          <w:marLeft w:val="720"/>
          <w:marRight w:val="0"/>
          <w:marTop w:val="0"/>
          <w:marBottom w:val="0"/>
          <w:divBdr>
            <w:top w:val="none" w:sz="0" w:space="0" w:color="auto"/>
            <w:left w:val="none" w:sz="0" w:space="0" w:color="auto"/>
            <w:bottom w:val="none" w:sz="0" w:space="0" w:color="auto"/>
            <w:right w:val="none" w:sz="0" w:space="0" w:color="auto"/>
          </w:divBdr>
        </w:div>
        <w:div w:id="1496845973">
          <w:marLeft w:val="720"/>
          <w:marRight w:val="0"/>
          <w:marTop w:val="0"/>
          <w:marBottom w:val="0"/>
          <w:divBdr>
            <w:top w:val="none" w:sz="0" w:space="0" w:color="auto"/>
            <w:left w:val="none" w:sz="0" w:space="0" w:color="auto"/>
            <w:bottom w:val="none" w:sz="0" w:space="0" w:color="auto"/>
            <w:right w:val="none" w:sz="0" w:space="0" w:color="auto"/>
          </w:divBdr>
        </w:div>
      </w:divsChild>
    </w:div>
    <w:div w:id="232206302">
      <w:bodyDiv w:val="1"/>
      <w:marLeft w:val="0"/>
      <w:marRight w:val="0"/>
      <w:marTop w:val="0"/>
      <w:marBottom w:val="0"/>
      <w:divBdr>
        <w:top w:val="none" w:sz="0" w:space="0" w:color="auto"/>
        <w:left w:val="none" w:sz="0" w:space="0" w:color="auto"/>
        <w:bottom w:val="none" w:sz="0" w:space="0" w:color="auto"/>
        <w:right w:val="none" w:sz="0" w:space="0" w:color="auto"/>
      </w:divBdr>
    </w:div>
    <w:div w:id="257300880">
      <w:bodyDiv w:val="1"/>
      <w:marLeft w:val="0"/>
      <w:marRight w:val="0"/>
      <w:marTop w:val="0"/>
      <w:marBottom w:val="0"/>
      <w:divBdr>
        <w:top w:val="none" w:sz="0" w:space="0" w:color="auto"/>
        <w:left w:val="none" w:sz="0" w:space="0" w:color="auto"/>
        <w:bottom w:val="none" w:sz="0" w:space="0" w:color="auto"/>
        <w:right w:val="none" w:sz="0" w:space="0" w:color="auto"/>
      </w:divBdr>
    </w:div>
    <w:div w:id="324359217">
      <w:bodyDiv w:val="1"/>
      <w:marLeft w:val="0"/>
      <w:marRight w:val="0"/>
      <w:marTop w:val="0"/>
      <w:marBottom w:val="0"/>
      <w:divBdr>
        <w:top w:val="none" w:sz="0" w:space="0" w:color="auto"/>
        <w:left w:val="none" w:sz="0" w:space="0" w:color="auto"/>
        <w:bottom w:val="none" w:sz="0" w:space="0" w:color="auto"/>
        <w:right w:val="none" w:sz="0" w:space="0" w:color="auto"/>
      </w:divBdr>
    </w:div>
    <w:div w:id="358632053">
      <w:bodyDiv w:val="1"/>
      <w:marLeft w:val="0"/>
      <w:marRight w:val="0"/>
      <w:marTop w:val="0"/>
      <w:marBottom w:val="0"/>
      <w:divBdr>
        <w:top w:val="none" w:sz="0" w:space="0" w:color="auto"/>
        <w:left w:val="none" w:sz="0" w:space="0" w:color="auto"/>
        <w:bottom w:val="none" w:sz="0" w:space="0" w:color="auto"/>
        <w:right w:val="none" w:sz="0" w:space="0" w:color="auto"/>
      </w:divBdr>
    </w:div>
    <w:div w:id="372387189">
      <w:bodyDiv w:val="1"/>
      <w:marLeft w:val="0"/>
      <w:marRight w:val="0"/>
      <w:marTop w:val="0"/>
      <w:marBottom w:val="0"/>
      <w:divBdr>
        <w:top w:val="none" w:sz="0" w:space="0" w:color="auto"/>
        <w:left w:val="none" w:sz="0" w:space="0" w:color="auto"/>
        <w:bottom w:val="none" w:sz="0" w:space="0" w:color="auto"/>
        <w:right w:val="none" w:sz="0" w:space="0" w:color="auto"/>
      </w:divBdr>
    </w:div>
    <w:div w:id="431510367">
      <w:bodyDiv w:val="1"/>
      <w:marLeft w:val="0"/>
      <w:marRight w:val="0"/>
      <w:marTop w:val="0"/>
      <w:marBottom w:val="0"/>
      <w:divBdr>
        <w:top w:val="none" w:sz="0" w:space="0" w:color="auto"/>
        <w:left w:val="none" w:sz="0" w:space="0" w:color="auto"/>
        <w:bottom w:val="none" w:sz="0" w:space="0" w:color="auto"/>
        <w:right w:val="none" w:sz="0" w:space="0" w:color="auto"/>
      </w:divBdr>
    </w:div>
    <w:div w:id="452752218">
      <w:bodyDiv w:val="1"/>
      <w:marLeft w:val="0"/>
      <w:marRight w:val="0"/>
      <w:marTop w:val="0"/>
      <w:marBottom w:val="0"/>
      <w:divBdr>
        <w:top w:val="none" w:sz="0" w:space="0" w:color="auto"/>
        <w:left w:val="none" w:sz="0" w:space="0" w:color="auto"/>
        <w:bottom w:val="none" w:sz="0" w:space="0" w:color="auto"/>
        <w:right w:val="none" w:sz="0" w:space="0" w:color="auto"/>
      </w:divBdr>
    </w:div>
    <w:div w:id="503398471">
      <w:bodyDiv w:val="1"/>
      <w:marLeft w:val="0"/>
      <w:marRight w:val="0"/>
      <w:marTop w:val="0"/>
      <w:marBottom w:val="0"/>
      <w:divBdr>
        <w:top w:val="none" w:sz="0" w:space="0" w:color="auto"/>
        <w:left w:val="none" w:sz="0" w:space="0" w:color="auto"/>
        <w:bottom w:val="none" w:sz="0" w:space="0" w:color="auto"/>
        <w:right w:val="none" w:sz="0" w:space="0" w:color="auto"/>
      </w:divBdr>
    </w:div>
    <w:div w:id="521675836">
      <w:bodyDiv w:val="1"/>
      <w:marLeft w:val="0"/>
      <w:marRight w:val="0"/>
      <w:marTop w:val="0"/>
      <w:marBottom w:val="0"/>
      <w:divBdr>
        <w:top w:val="none" w:sz="0" w:space="0" w:color="auto"/>
        <w:left w:val="none" w:sz="0" w:space="0" w:color="auto"/>
        <w:bottom w:val="none" w:sz="0" w:space="0" w:color="auto"/>
        <w:right w:val="none" w:sz="0" w:space="0" w:color="auto"/>
      </w:divBdr>
    </w:div>
    <w:div w:id="530186803">
      <w:bodyDiv w:val="1"/>
      <w:marLeft w:val="0"/>
      <w:marRight w:val="0"/>
      <w:marTop w:val="0"/>
      <w:marBottom w:val="0"/>
      <w:divBdr>
        <w:top w:val="none" w:sz="0" w:space="0" w:color="auto"/>
        <w:left w:val="none" w:sz="0" w:space="0" w:color="auto"/>
        <w:bottom w:val="none" w:sz="0" w:space="0" w:color="auto"/>
        <w:right w:val="none" w:sz="0" w:space="0" w:color="auto"/>
      </w:divBdr>
    </w:div>
    <w:div w:id="563687555">
      <w:bodyDiv w:val="1"/>
      <w:marLeft w:val="0"/>
      <w:marRight w:val="0"/>
      <w:marTop w:val="0"/>
      <w:marBottom w:val="0"/>
      <w:divBdr>
        <w:top w:val="none" w:sz="0" w:space="0" w:color="auto"/>
        <w:left w:val="none" w:sz="0" w:space="0" w:color="auto"/>
        <w:bottom w:val="none" w:sz="0" w:space="0" w:color="auto"/>
        <w:right w:val="none" w:sz="0" w:space="0" w:color="auto"/>
      </w:divBdr>
    </w:div>
    <w:div w:id="588580376">
      <w:bodyDiv w:val="1"/>
      <w:marLeft w:val="0"/>
      <w:marRight w:val="0"/>
      <w:marTop w:val="0"/>
      <w:marBottom w:val="0"/>
      <w:divBdr>
        <w:top w:val="none" w:sz="0" w:space="0" w:color="auto"/>
        <w:left w:val="none" w:sz="0" w:space="0" w:color="auto"/>
        <w:bottom w:val="none" w:sz="0" w:space="0" w:color="auto"/>
        <w:right w:val="none" w:sz="0" w:space="0" w:color="auto"/>
      </w:divBdr>
    </w:div>
    <w:div w:id="623931049">
      <w:bodyDiv w:val="1"/>
      <w:marLeft w:val="0"/>
      <w:marRight w:val="0"/>
      <w:marTop w:val="0"/>
      <w:marBottom w:val="0"/>
      <w:divBdr>
        <w:top w:val="none" w:sz="0" w:space="0" w:color="auto"/>
        <w:left w:val="none" w:sz="0" w:space="0" w:color="auto"/>
        <w:bottom w:val="none" w:sz="0" w:space="0" w:color="auto"/>
        <w:right w:val="none" w:sz="0" w:space="0" w:color="auto"/>
      </w:divBdr>
    </w:div>
    <w:div w:id="637614606">
      <w:bodyDiv w:val="1"/>
      <w:marLeft w:val="0"/>
      <w:marRight w:val="0"/>
      <w:marTop w:val="0"/>
      <w:marBottom w:val="0"/>
      <w:divBdr>
        <w:top w:val="none" w:sz="0" w:space="0" w:color="auto"/>
        <w:left w:val="none" w:sz="0" w:space="0" w:color="auto"/>
        <w:bottom w:val="none" w:sz="0" w:space="0" w:color="auto"/>
        <w:right w:val="none" w:sz="0" w:space="0" w:color="auto"/>
      </w:divBdr>
    </w:div>
    <w:div w:id="707493097">
      <w:bodyDiv w:val="1"/>
      <w:marLeft w:val="0"/>
      <w:marRight w:val="0"/>
      <w:marTop w:val="0"/>
      <w:marBottom w:val="0"/>
      <w:divBdr>
        <w:top w:val="none" w:sz="0" w:space="0" w:color="auto"/>
        <w:left w:val="none" w:sz="0" w:space="0" w:color="auto"/>
        <w:bottom w:val="none" w:sz="0" w:space="0" w:color="auto"/>
        <w:right w:val="none" w:sz="0" w:space="0" w:color="auto"/>
      </w:divBdr>
    </w:div>
    <w:div w:id="713849292">
      <w:bodyDiv w:val="1"/>
      <w:marLeft w:val="0"/>
      <w:marRight w:val="0"/>
      <w:marTop w:val="0"/>
      <w:marBottom w:val="0"/>
      <w:divBdr>
        <w:top w:val="none" w:sz="0" w:space="0" w:color="auto"/>
        <w:left w:val="none" w:sz="0" w:space="0" w:color="auto"/>
        <w:bottom w:val="none" w:sz="0" w:space="0" w:color="auto"/>
        <w:right w:val="none" w:sz="0" w:space="0" w:color="auto"/>
      </w:divBdr>
    </w:div>
    <w:div w:id="732393732">
      <w:bodyDiv w:val="1"/>
      <w:marLeft w:val="0"/>
      <w:marRight w:val="0"/>
      <w:marTop w:val="0"/>
      <w:marBottom w:val="0"/>
      <w:divBdr>
        <w:top w:val="none" w:sz="0" w:space="0" w:color="auto"/>
        <w:left w:val="none" w:sz="0" w:space="0" w:color="auto"/>
        <w:bottom w:val="none" w:sz="0" w:space="0" w:color="auto"/>
        <w:right w:val="none" w:sz="0" w:space="0" w:color="auto"/>
      </w:divBdr>
    </w:div>
    <w:div w:id="838421004">
      <w:bodyDiv w:val="1"/>
      <w:marLeft w:val="0"/>
      <w:marRight w:val="0"/>
      <w:marTop w:val="0"/>
      <w:marBottom w:val="0"/>
      <w:divBdr>
        <w:top w:val="none" w:sz="0" w:space="0" w:color="auto"/>
        <w:left w:val="none" w:sz="0" w:space="0" w:color="auto"/>
        <w:bottom w:val="none" w:sz="0" w:space="0" w:color="auto"/>
        <w:right w:val="none" w:sz="0" w:space="0" w:color="auto"/>
      </w:divBdr>
      <w:divsChild>
        <w:div w:id="95907914">
          <w:marLeft w:val="720"/>
          <w:marRight w:val="0"/>
          <w:marTop w:val="0"/>
          <w:marBottom w:val="0"/>
          <w:divBdr>
            <w:top w:val="none" w:sz="0" w:space="0" w:color="auto"/>
            <w:left w:val="none" w:sz="0" w:space="0" w:color="auto"/>
            <w:bottom w:val="none" w:sz="0" w:space="0" w:color="auto"/>
            <w:right w:val="none" w:sz="0" w:space="0" w:color="auto"/>
          </w:divBdr>
        </w:div>
        <w:div w:id="1530872744">
          <w:marLeft w:val="720"/>
          <w:marRight w:val="0"/>
          <w:marTop w:val="0"/>
          <w:marBottom w:val="0"/>
          <w:divBdr>
            <w:top w:val="none" w:sz="0" w:space="0" w:color="auto"/>
            <w:left w:val="none" w:sz="0" w:space="0" w:color="auto"/>
            <w:bottom w:val="none" w:sz="0" w:space="0" w:color="auto"/>
            <w:right w:val="none" w:sz="0" w:space="0" w:color="auto"/>
          </w:divBdr>
        </w:div>
        <w:div w:id="1332681704">
          <w:marLeft w:val="720"/>
          <w:marRight w:val="0"/>
          <w:marTop w:val="0"/>
          <w:marBottom w:val="0"/>
          <w:divBdr>
            <w:top w:val="none" w:sz="0" w:space="0" w:color="auto"/>
            <w:left w:val="none" w:sz="0" w:space="0" w:color="auto"/>
            <w:bottom w:val="none" w:sz="0" w:space="0" w:color="auto"/>
            <w:right w:val="none" w:sz="0" w:space="0" w:color="auto"/>
          </w:divBdr>
        </w:div>
      </w:divsChild>
    </w:div>
    <w:div w:id="931860076">
      <w:bodyDiv w:val="1"/>
      <w:marLeft w:val="0"/>
      <w:marRight w:val="0"/>
      <w:marTop w:val="0"/>
      <w:marBottom w:val="0"/>
      <w:divBdr>
        <w:top w:val="none" w:sz="0" w:space="0" w:color="auto"/>
        <w:left w:val="none" w:sz="0" w:space="0" w:color="auto"/>
        <w:bottom w:val="none" w:sz="0" w:space="0" w:color="auto"/>
        <w:right w:val="none" w:sz="0" w:space="0" w:color="auto"/>
      </w:divBdr>
    </w:div>
    <w:div w:id="988943073">
      <w:bodyDiv w:val="1"/>
      <w:marLeft w:val="0"/>
      <w:marRight w:val="0"/>
      <w:marTop w:val="0"/>
      <w:marBottom w:val="0"/>
      <w:divBdr>
        <w:top w:val="none" w:sz="0" w:space="0" w:color="auto"/>
        <w:left w:val="none" w:sz="0" w:space="0" w:color="auto"/>
        <w:bottom w:val="none" w:sz="0" w:space="0" w:color="auto"/>
        <w:right w:val="none" w:sz="0" w:space="0" w:color="auto"/>
      </w:divBdr>
    </w:div>
    <w:div w:id="1001271437">
      <w:bodyDiv w:val="1"/>
      <w:marLeft w:val="0"/>
      <w:marRight w:val="0"/>
      <w:marTop w:val="0"/>
      <w:marBottom w:val="0"/>
      <w:divBdr>
        <w:top w:val="none" w:sz="0" w:space="0" w:color="auto"/>
        <w:left w:val="none" w:sz="0" w:space="0" w:color="auto"/>
        <w:bottom w:val="none" w:sz="0" w:space="0" w:color="auto"/>
        <w:right w:val="none" w:sz="0" w:space="0" w:color="auto"/>
      </w:divBdr>
    </w:div>
    <w:div w:id="1040397594">
      <w:bodyDiv w:val="1"/>
      <w:marLeft w:val="0"/>
      <w:marRight w:val="0"/>
      <w:marTop w:val="0"/>
      <w:marBottom w:val="0"/>
      <w:divBdr>
        <w:top w:val="none" w:sz="0" w:space="0" w:color="auto"/>
        <w:left w:val="none" w:sz="0" w:space="0" w:color="auto"/>
        <w:bottom w:val="none" w:sz="0" w:space="0" w:color="auto"/>
        <w:right w:val="none" w:sz="0" w:space="0" w:color="auto"/>
      </w:divBdr>
    </w:div>
    <w:div w:id="1082222665">
      <w:bodyDiv w:val="1"/>
      <w:marLeft w:val="0"/>
      <w:marRight w:val="0"/>
      <w:marTop w:val="0"/>
      <w:marBottom w:val="0"/>
      <w:divBdr>
        <w:top w:val="none" w:sz="0" w:space="0" w:color="auto"/>
        <w:left w:val="none" w:sz="0" w:space="0" w:color="auto"/>
        <w:bottom w:val="none" w:sz="0" w:space="0" w:color="auto"/>
        <w:right w:val="none" w:sz="0" w:space="0" w:color="auto"/>
      </w:divBdr>
      <w:divsChild>
        <w:div w:id="1552156866">
          <w:marLeft w:val="720"/>
          <w:marRight w:val="0"/>
          <w:marTop w:val="0"/>
          <w:marBottom w:val="0"/>
          <w:divBdr>
            <w:top w:val="none" w:sz="0" w:space="0" w:color="auto"/>
            <w:left w:val="none" w:sz="0" w:space="0" w:color="auto"/>
            <w:bottom w:val="none" w:sz="0" w:space="0" w:color="auto"/>
            <w:right w:val="none" w:sz="0" w:space="0" w:color="auto"/>
          </w:divBdr>
        </w:div>
        <w:div w:id="2013992604">
          <w:marLeft w:val="720"/>
          <w:marRight w:val="0"/>
          <w:marTop w:val="0"/>
          <w:marBottom w:val="0"/>
          <w:divBdr>
            <w:top w:val="none" w:sz="0" w:space="0" w:color="auto"/>
            <w:left w:val="none" w:sz="0" w:space="0" w:color="auto"/>
            <w:bottom w:val="none" w:sz="0" w:space="0" w:color="auto"/>
            <w:right w:val="none" w:sz="0" w:space="0" w:color="auto"/>
          </w:divBdr>
        </w:div>
        <w:div w:id="1293558805">
          <w:marLeft w:val="720"/>
          <w:marRight w:val="0"/>
          <w:marTop w:val="0"/>
          <w:marBottom w:val="0"/>
          <w:divBdr>
            <w:top w:val="none" w:sz="0" w:space="0" w:color="auto"/>
            <w:left w:val="none" w:sz="0" w:space="0" w:color="auto"/>
            <w:bottom w:val="none" w:sz="0" w:space="0" w:color="auto"/>
            <w:right w:val="none" w:sz="0" w:space="0" w:color="auto"/>
          </w:divBdr>
        </w:div>
      </w:divsChild>
    </w:div>
    <w:div w:id="1139490706">
      <w:bodyDiv w:val="1"/>
      <w:marLeft w:val="0"/>
      <w:marRight w:val="0"/>
      <w:marTop w:val="0"/>
      <w:marBottom w:val="0"/>
      <w:divBdr>
        <w:top w:val="none" w:sz="0" w:space="0" w:color="auto"/>
        <w:left w:val="none" w:sz="0" w:space="0" w:color="auto"/>
        <w:bottom w:val="none" w:sz="0" w:space="0" w:color="auto"/>
        <w:right w:val="none" w:sz="0" w:space="0" w:color="auto"/>
      </w:divBdr>
    </w:div>
    <w:div w:id="1179393809">
      <w:bodyDiv w:val="1"/>
      <w:marLeft w:val="0"/>
      <w:marRight w:val="0"/>
      <w:marTop w:val="0"/>
      <w:marBottom w:val="0"/>
      <w:divBdr>
        <w:top w:val="none" w:sz="0" w:space="0" w:color="auto"/>
        <w:left w:val="none" w:sz="0" w:space="0" w:color="auto"/>
        <w:bottom w:val="none" w:sz="0" w:space="0" w:color="auto"/>
        <w:right w:val="none" w:sz="0" w:space="0" w:color="auto"/>
      </w:divBdr>
      <w:divsChild>
        <w:div w:id="1419401553">
          <w:marLeft w:val="720"/>
          <w:marRight w:val="0"/>
          <w:marTop w:val="0"/>
          <w:marBottom w:val="0"/>
          <w:divBdr>
            <w:top w:val="none" w:sz="0" w:space="0" w:color="auto"/>
            <w:left w:val="none" w:sz="0" w:space="0" w:color="auto"/>
            <w:bottom w:val="none" w:sz="0" w:space="0" w:color="auto"/>
            <w:right w:val="none" w:sz="0" w:space="0" w:color="auto"/>
          </w:divBdr>
        </w:div>
        <w:div w:id="1812089701">
          <w:marLeft w:val="720"/>
          <w:marRight w:val="0"/>
          <w:marTop w:val="0"/>
          <w:marBottom w:val="0"/>
          <w:divBdr>
            <w:top w:val="none" w:sz="0" w:space="0" w:color="auto"/>
            <w:left w:val="none" w:sz="0" w:space="0" w:color="auto"/>
            <w:bottom w:val="none" w:sz="0" w:space="0" w:color="auto"/>
            <w:right w:val="none" w:sz="0" w:space="0" w:color="auto"/>
          </w:divBdr>
        </w:div>
        <w:div w:id="1168325384">
          <w:marLeft w:val="720"/>
          <w:marRight w:val="0"/>
          <w:marTop w:val="0"/>
          <w:marBottom w:val="0"/>
          <w:divBdr>
            <w:top w:val="none" w:sz="0" w:space="0" w:color="auto"/>
            <w:left w:val="none" w:sz="0" w:space="0" w:color="auto"/>
            <w:bottom w:val="none" w:sz="0" w:space="0" w:color="auto"/>
            <w:right w:val="none" w:sz="0" w:space="0" w:color="auto"/>
          </w:divBdr>
        </w:div>
      </w:divsChild>
    </w:div>
    <w:div w:id="1268149562">
      <w:bodyDiv w:val="1"/>
      <w:marLeft w:val="0"/>
      <w:marRight w:val="0"/>
      <w:marTop w:val="0"/>
      <w:marBottom w:val="0"/>
      <w:divBdr>
        <w:top w:val="none" w:sz="0" w:space="0" w:color="auto"/>
        <w:left w:val="none" w:sz="0" w:space="0" w:color="auto"/>
        <w:bottom w:val="none" w:sz="0" w:space="0" w:color="auto"/>
        <w:right w:val="none" w:sz="0" w:space="0" w:color="auto"/>
      </w:divBdr>
    </w:div>
    <w:div w:id="1283271524">
      <w:bodyDiv w:val="1"/>
      <w:marLeft w:val="0"/>
      <w:marRight w:val="0"/>
      <w:marTop w:val="0"/>
      <w:marBottom w:val="0"/>
      <w:divBdr>
        <w:top w:val="none" w:sz="0" w:space="0" w:color="auto"/>
        <w:left w:val="none" w:sz="0" w:space="0" w:color="auto"/>
        <w:bottom w:val="none" w:sz="0" w:space="0" w:color="auto"/>
        <w:right w:val="none" w:sz="0" w:space="0" w:color="auto"/>
      </w:divBdr>
    </w:div>
    <w:div w:id="1355382477">
      <w:bodyDiv w:val="1"/>
      <w:marLeft w:val="0"/>
      <w:marRight w:val="0"/>
      <w:marTop w:val="0"/>
      <w:marBottom w:val="0"/>
      <w:divBdr>
        <w:top w:val="none" w:sz="0" w:space="0" w:color="auto"/>
        <w:left w:val="none" w:sz="0" w:space="0" w:color="auto"/>
        <w:bottom w:val="none" w:sz="0" w:space="0" w:color="auto"/>
        <w:right w:val="none" w:sz="0" w:space="0" w:color="auto"/>
      </w:divBdr>
    </w:div>
    <w:div w:id="1367951469">
      <w:bodyDiv w:val="1"/>
      <w:marLeft w:val="0"/>
      <w:marRight w:val="0"/>
      <w:marTop w:val="0"/>
      <w:marBottom w:val="0"/>
      <w:divBdr>
        <w:top w:val="none" w:sz="0" w:space="0" w:color="auto"/>
        <w:left w:val="none" w:sz="0" w:space="0" w:color="auto"/>
        <w:bottom w:val="none" w:sz="0" w:space="0" w:color="auto"/>
        <w:right w:val="none" w:sz="0" w:space="0" w:color="auto"/>
      </w:divBdr>
    </w:div>
    <w:div w:id="1393042335">
      <w:bodyDiv w:val="1"/>
      <w:marLeft w:val="0"/>
      <w:marRight w:val="0"/>
      <w:marTop w:val="0"/>
      <w:marBottom w:val="0"/>
      <w:divBdr>
        <w:top w:val="none" w:sz="0" w:space="0" w:color="auto"/>
        <w:left w:val="none" w:sz="0" w:space="0" w:color="auto"/>
        <w:bottom w:val="none" w:sz="0" w:space="0" w:color="auto"/>
        <w:right w:val="none" w:sz="0" w:space="0" w:color="auto"/>
      </w:divBdr>
    </w:div>
    <w:div w:id="1423799571">
      <w:bodyDiv w:val="1"/>
      <w:marLeft w:val="0"/>
      <w:marRight w:val="0"/>
      <w:marTop w:val="0"/>
      <w:marBottom w:val="0"/>
      <w:divBdr>
        <w:top w:val="none" w:sz="0" w:space="0" w:color="auto"/>
        <w:left w:val="none" w:sz="0" w:space="0" w:color="auto"/>
        <w:bottom w:val="none" w:sz="0" w:space="0" w:color="auto"/>
        <w:right w:val="none" w:sz="0" w:space="0" w:color="auto"/>
      </w:divBdr>
    </w:div>
    <w:div w:id="1444883963">
      <w:bodyDiv w:val="1"/>
      <w:marLeft w:val="0"/>
      <w:marRight w:val="0"/>
      <w:marTop w:val="0"/>
      <w:marBottom w:val="0"/>
      <w:divBdr>
        <w:top w:val="none" w:sz="0" w:space="0" w:color="auto"/>
        <w:left w:val="none" w:sz="0" w:space="0" w:color="auto"/>
        <w:bottom w:val="none" w:sz="0" w:space="0" w:color="auto"/>
        <w:right w:val="none" w:sz="0" w:space="0" w:color="auto"/>
      </w:divBdr>
    </w:div>
    <w:div w:id="1445881809">
      <w:bodyDiv w:val="1"/>
      <w:marLeft w:val="0"/>
      <w:marRight w:val="0"/>
      <w:marTop w:val="0"/>
      <w:marBottom w:val="0"/>
      <w:divBdr>
        <w:top w:val="none" w:sz="0" w:space="0" w:color="auto"/>
        <w:left w:val="none" w:sz="0" w:space="0" w:color="auto"/>
        <w:bottom w:val="none" w:sz="0" w:space="0" w:color="auto"/>
        <w:right w:val="none" w:sz="0" w:space="0" w:color="auto"/>
      </w:divBdr>
    </w:div>
    <w:div w:id="1521503890">
      <w:bodyDiv w:val="1"/>
      <w:marLeft w:val="0"/>
      <w:marRight w:val="0"/>
      <w:marTop w:val="0"/>
      <w:marBottom w:val="0"/>
      <w:divBdr>
        <w:top w:val="none" w:sz="0" w:space="0" w:color="auto"/>
        <w:left w:val="none" w:sz="0" w:space="0" w:color="auto"/>
        <w:bottom w:val="none" w:sz="0" w:space="0" w:color="auto"/>
        <w:right w:val="none" w:sz="0" w:space="0" w:color="auto"/>
      </w:divBdr>
    </w:div>
    <w:div w:id="1566716265">
      <w:bodyDiv w:val="1"/>
      <w:marLeft w:val="0"/>
      <w:marRight w:val="0"/>
      <w:marTop w:val="0"/>
      <w:marBottom w:val="0"/>
      <w:divBdr>
        <w:top w:val="none" w:sz="0" w:space="0" w:color="auto"/>
        <w:left w:val="none" w:sz="0" w:space="0" w:color="auto"/>
        <w:bottom w:val="none" w:sz="0" w:space="0" w:color="auto"/>
        <w:right w:val="none" w:sz="0" w:space="0" w:color="auto"/>
      </w:divBdr>
      <w:divsChild>
        <w:div w:id="1351832312">
          <w:marLeft w:val="446"/>
          <w:marRight w:val="0"/>
          <w:marTop w:val="0"/>
          <w:marBottom w:val="0"/>
          <w:divBdr>
            <w:top w:val="none" w:sz="0" w:space="0" w:color="auto"/>
            <w:left w:val="none" w:sz="0" w:space="0" w:color="auto"/>
            <w:bottom w:val="none" w:sz="0" w:space="0" w:color="auto"/>
            <w:right w:val="none" w:sz="0" w:space="0" w:color="auto"/>
          </w:divBdr>
        </w:div>
        <w:div w:id="1155754312">
          <w:marLeft w:val="446"/>
          <w:marRight w:val="0"/>
          <w:marTop w:val="0"/>
          <w:marBottom w:val="0"/>
          <w:divBdr>
            <w:top w:val="none" w:sz="0" w:space="0" w:color="auto"/>
            <w:left w:val="none" w:sz="0" w:space="0" w:color="auto"/>
            <w:bottom w:val="none" w:sz="0" w:space="0" w:color="auto"/>
            <w:right w:val="none" w:sz="0" w:space="0" w:color="auto"/>
          </w:divBdr>
        </w:div>
        <w:div w:id="1600262112">
          <w:marLeft w:val="446"/>
          <w:marRight w:val="0"/>
          <w:marTop w:val="0"/>
          <w:marBottom w:val="0"/>
          <w:divBdr>
            <w:top w:val="none" w:sz="0" w:space="0" w:color="auto"/>
            <w:left w:val="none" w:sz="0" w:space="0" w:color="auto"/>
            <w:bottom w:val="none" w:sz="0" w:space="0" w:color="auto"/>
            <w:right w:val="none" w:sz="0" w:space="0" w:color="auto"/>
          </w:divBdr>
        </w:div>
        <w:div w:id="1924988987">
          <w:marLeft w:val="446"/>
          <w:marRight w:val="0"/>
          <w:marTop w:val="0"/>
          <w:marBottom w:val="0"/>
          <w:divBdr>
            <w:top w:val="none" w:sz="0" w:space="0" w:color="auto"/>
            <w:left w:val="none" w:sz="0" w:space="0" w:color="auto"/>
            <w:bottom w:val="none" w:sz="0" w:space="0" w:color="auto"/>
            <w:right w:val="none" w:sz="0" w:space="0" w:color="auto"/>
          </w:divBdr>
        </w:div>
        <w:div w:id="1475564875">
          <w:marLeft w:val="446"/>
          <w:marRight w:val="0"/>
          <w:marTop w:val="0"/>
          <w:marBottom w:val="0"/>
          <w:divBdr>
            <w:top w:val="none" w:sz="0" w:space="0" w:color="auto"/>
            <w:left w:val="none" w:sz="0" w:space="0" w:color="auto"/>
            <w:bottom w:val="none" w:sz="0" w:space="0" w:color="auto"/>
            <w:right w:val="none" w:sz="0" w:space="0" w:color="auto"/>
          </w:divBdr>
        </w:div>
        <w:div w:id="456997272">
          <w:marLeft w:val="446"/>
          <w:marRight w:val="0"/>
          <w:marTop w:val="0"/>
          <w:marBottom w:val="0"/>
          <w:divBdr>
            <w:top w:val="none" w:sz="0" w:space="0" w:color="auto"/>
            <w:left w:val="none" w:sz="0" w:space="0" w:color="auto"/>
            <w:bottom w:val="none" w:sz="0" w:space="0" w:color="auto"/>
            <w:right w:val="none" w:sz="0" w:space="0" w:color="auto"/>
          </w:divBdr>
        </w:div>
        <w:div w:id="2145468236">
          <w:marLeft w:val="446"/>
          <w:marRight w:val="0"/>
          <w:marTop w:val="0"/>
          <w:marBottom w:val="0"/>
          <w:divBdr>
            <w:top w:val="none" w:sz="0" w:space="0" w:color="auto"/>
            <w:left w:val="none" w:sz="0" w:space="0" w:color="auto"/>
            <w:bottom w:val="none" w:sz="0" w:space="0" w:color="auto"/>
            <w:right w:val="none" w:sz="0" w:space="0" w:color="auto"/>
          </w:divBdr>
        </w:div>
      </w:divsChild>
    </w:div>
    <w:div w:id="1610120086">
      <w:bodyDiv w:val="1"/>
      <w:marLeft w:val="0"/>
      <w:marRight w:val="0"/>
      <w:marTop w:val="0"/>
      <w:marBottom w:val="0"/>
      <w:divBdr>
        <w:top w:val="none" w:sz="0" w:space="0" w:color="auto"/>
        <w:left w:val="none" w:sz="0" w:space="0" w:color="auto"/>
        <w:bottom w:val="none" w:sz="0" w:space="0" w:color="auto"/>
        <w:right w:val="none" w:sz="0" w:space="0" w:color="auto"/>
      </w:divBdr>
    </w:div>
    <w:div w:id="1610162791">
      <w:bodyDiv w:val="1"/>
      <w:marLeft w:val="0"/>
      <w:marRight w:val="0"/>
      <w:marTop w:val="0"/>
      <w:marBottom w:val="0"/>
      <w:divBdr>
        <w:top w:val="none" w:sz="0" w:space="0" w:color="auto"/>
        <w:left w:val="none" w:sz="0" w:space="0" w:color="auto"/>
        <w:bottom w:val="none" w:sz="0" w:space="0" w:color="auto"/>
        <w:right w:val="none" w:sz="0" w:space="0" w:color="auto"/>
      </w:divBdr>
    </w:div>
    <w:div w:id="1640188086">
      <w:bodyDiv w:val="1"/>
      <w:marLeft w:val="0"/>
      <w:marRight w:val="0"/>
      <w:marTop w:val="0"/>
      <w:marBottom w:val="0"/>
      <w:divBdr>
        <w:top w:val="none" w:sz="0" w:space="0" w:color="auto"/>
        <w:left w:val="none" w:sz="0" w:space="0" w:color="auto"/>
        <w:bottom w:val="none" w:sz="0" w:space="0" w:color="auto"/>
        <w:right w:val="none" w:sz="0" w:space="0" w:color="auto"/>
      </w:divBdr>
    </w:div>
    <w:div w:id="1750955374">
      <w:bodyDiv w:val="1"/>
      <w:marLeft w:val="0"/>
      <w:marRight w:val="0"/>
      <w:marTop w:val="0"/>
      <w:marBottom w:val="0"/>
      <w:divBdr>
        <w:top w:val="none" w:sz="0" w:space="0" w:color="auto"/>
        <w:left w:val="none" w:sz="0" w:space="0" w:color="auto"/>
        <w:bottom w:val="none" w:sz="0" w:space="0" w:color="auto"/>
        <w:right w:val="none" w:sz="0" w:space="0" w:color="auto"/>
      </w:divBdr>
    </w:div>
    <w:div w:id="1789591870">
      <w:bodyDiv w:val="1"/>
      <w:marLeft w:val="0"/>
      <w:marRight w:val="0"/>
      <w:marTop w:val="0"/>
      <w:marBottom w:val="0"/>
      <w:divBdr>
        <w:top w:val="none" w:sz="0" w:space="0" w:color="auto"/>
        <w:left w:val="none" w:sz="0" w:space="0" w:color="auto"/>
        <w:bottom w:val="none" w:sz="0" w:space="0" w:color="auto"/>
        <w:right w:val="none" w:sz="0" w:space="0" w:color="auto"/>
      </w:divBdr>
    </w:div>
    <w:div w:id="1797603630">
      <w:bodyDiv w:val="1"/>
      <w:marLeft w:val="0"/>
      <w:marRight w:val="0"/>
      <w:marTop w:val="0"/>
      <w:marBottom w:val="0"/>
      <w:divBdr>
        <w:top w:val="none" w:sz="0" w:space="0" w:color="auto"/>
        <w:left w:val="none" w:sz="0" w:space="0" w:color="auto"/>
        <w:bottom w:val="none" w:sz="0" w:space="0" w:color="auto"/>
        <w:right w:val="none" w:sz="0" w:space="0" w:color="auto"/>
      </w:divBdr>
    </w:div>
    <w:div w:id="1799494642">
      <w:bodyDiv w:val="1"/>
      <w:marLeft w:val="0"/>
      <w:marRight w:val="0"/>
      <w:marTop w:val="0"/>
      <w:marBottom w:val="0"/>
      <w:divBdr>
        <w:top w:val="none" w:sz="0" w:space="0" w:color="auto"/>
        <w:left w:val="none" w:sz="0" w:space="0" w:color="auto"/>
        <w:bottom w:val="none" w:sz="0" w:space="0" w:color="auto"/>
        <w:right w:val="none" w:sz="0" w:space="0" w:color="auto"/>
      </w:divBdr>
    </w:div>
    <w:div w:id="1843352172">
      <w:bodyDiv w:val="1"/>
      <w:marLeft w:val="0"/>
      <w:marRight w:val="0"/>
      <w:marTop w:val="0"/>
      <w:marBottom w:val="0"/>
      <w:divBdr>
        <w:top w:val="none" w:sz="0" w:space="0" w:color="auto"/>
        <w:left w:val="none" w:sz="0" w:space="0" w:color="auto"/>
        <w:bottom w:val="none" w:sz="0" w:space="0" w:color="auto"/>
        <w:right w:val="none" w:sz="0" w:space="0" w:color="auto"/>
      </w:divBdr>
    </w:div>
    <w:div w:id="1849640873">
      <w:bodyDiv w:val="1"/>
      <w:marLeft w:val="0"/>
      <w:marRight w:val="0"/>
      <w:marTop w:val="0"/>
      <w:marBottom w:val="0"/>
      <w:divBdr>
        <w:top w:val="none" w:sz="0" w:space="0" w:color="auto"/>
        <w:left w:val="none" w:sz="0" w:space="0" w:color="auto"/>
        <w:bottom w:val="none" w:sz="0" w:space="0" w:color="auto"/>
        <w:right w:val="none" w:sz="0" w:space="0" w:color="auto"/>
      </w:divBdr>
    </w:div>
    <w:div w:id="1922635745">
      <w:bodyDiv w:val="1"/>
      <w:marLeft w:val="0"/>
      <w:marRight w:val="0"/>
      <w:marTop w:val="0"/>
      <w:marBottom w:val="0"/>
      <w:divBdr>
        <w:top w:val="none" w:sz="0" w:space="0" w:color="auto"/>
        <w:left w:val="none" w:sz="0" w:space="0" w:color="auto"/>
        <w:bottom w:val="none" w:sz="0" w:space="0" w:color="auto"/>
        <w:right w:val="none" w:sz="0" w:space="0" w:color="auto"/>
      </w:divBdr>
    </w:div>
    <w:div w:id="1924489307">
      <w:bodyDiv w:val="1"/>
      <w:marLeft w:val="0"/>
      <w:marRight w:val="0"/>
      <w:marTop w:val="0"/>
      <w:marBottom w:val="0"/>
      <w:divBdr>
        <w:top w:val="none" w:sz="0" w:space="0" w:color="auto"/>
        <w:left w:val="none" w:sz="0" w:space="0" w:color="auto"/>
        <w:bottom w:val="none" w:sz="0" w:space="0" w:color="auto"/>
        <w:right w:val="none" w:sz="0" w:space="0" w:color="auto"/>
      </w:divBdr>
    </w:div>
    <w:div w:id="2030136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defop.europa.eu/en/themes" TargetMode="External"/><Relationship Id="rId18" Type="http://schemas.openxmlformats.org/officeDocument/2006/relationships/hyperlink" Target="https://education.ec.europa.eu/sites/default/files/document-library-docs/european-approach-micro-credentials-higher-education-consultation-group-output-final-repor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opa.eu/europass/en/europass-tools/european-qualifications-framework" TargetMode="External"/><Relationship Id="rId7" Type="http://schemas.openxmlformats.org/officeDocument/2006/relationships/endnotes" Target="endnotes.xml"/><Relationship Id="rId12" Type="http://schemas.openxmlformats.org/officeDocument/2006/relationships/hyperlink" Target="https://www.cedefop.europa.eu/en/publications-and-reports" TargetMode="External"/><Relationship Id="rId17" Type="http://schemas.openxmlformats.org/officeDocument/2006/relationships/hyperlink" Target="https://esco.ec.europa.eu/en/about-esco/what-es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es.ec.europa.eu/eures-services_en" TargetMode="External"/><Relationship Id="rId20" Type="http://schemas.openxmlformats.org/officeDocument/2006/relationships/hyperlink" Target="https://unesdoc.unesco.org/in/documentViewer.xhtml?v=2.1.196&amp;id=p::usmarcdef_0000381668&amp;file=/in/rest/annotationSVC/DownloadWatermarkedAttachment/attach_import_2da68a70-ba6a-4af4-8381-bbef7425253c%3F_%3D381668eng.pdf&amp;locale=en&amp;multi=true&amp;ark=/ark:/48223/pf0000381668/PDF/381668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edefop.europa.eu/en/online-tools" TargetMode="External"/><Relationship Id="rId23" Type="http://schemas.openxmlformats.org/officeDocument/2006/relationships/hyperlink" Target="https://esco.ec.europa.eu/en/about-esco/what-esco" TargetMode="External"/><Relationship Id="rId10" Type="http://schemas.openxmlformats.org/officeDocument/2006/relationships/hyperlink" Target="https://ec.europa.eu/social/BlobServlet?docId=25471&amp;langId=en" TargetMode="External"/><Relationship Id="rId19" Type="http://schemas.openxmlformats.org/officeDocument/2006/relationships/hyperlink" Target="https://unesdoc.unesco.org/in/documentViewer.xhtml?v=2.1.196&amp;id=p::usmarcdef_0000381668&amp;file=/in/rest/annotationSVC/DownloadWatermarkedAttachment/attach_import_2da68a70-ba6a-4af4-8381-bbef7425253c%3F_%3D381668eng.pdf&amp;locale=en&amp;multi=true&amp;ark=/ark:/48223/pf0000381668/PDF/381668eng.pdf" TargetMode="External"/><Relationship Id="rId4" Type="http://schemas.openxmlformats.org/officeDocument/2006/relationships/settings" Target="settings.xml"/><Relationship Id="rId9" Type="http://schemas.openxmlformats.org/officeDocument/2006/relationships/hyperlink" Target="https://ec.europa.eu/social/BlobServlet?docId=25470&amp;langId=en" TargetMode="External"/><Relationship Id="rId14" Type="http://schemas.openxmlformats.org/officeDocument/2006/relationships/hyperlink" Target="https://eur-lex.europa.eu/legal-content/EN/ALL/?uri=CELEX:32009H0708%2802%29" TargetMode="External"/><Relationship Id="rId22" Type="http://schemas.openxmlformats.org/officeDocument/2006/relationships/hyperlink" Target="https://europa.eu/europass/en/what-europass-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1406-0E2E-4445-8E3B-E9BB971F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2818</Words>
  <Characters>16069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amtech letterhead</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amtech letterhead</dc:title>
  <dc:creator>Monia Coppola</dc:creator>
  <cp:keywords>DAE3HrNhMR8,BAEXurJiHZU</cp:keywords>
  <cp:lastModifiedBy>Javier Serón Molina</cp:lastModifiedBy>
  <cp:revision>8</cp:revision>
  <dcterms:created xsi:type="dcterms:W3CDTF">2023-06-15T08:51:00Z</dcterms:created>
  <dcterms:modified xsi:type="dcterms:W3CDTF">2023-07-20T08:26:00Z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ies>
</file>